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25863F38"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49E9D27B">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SUMMARY SHEETS : ARTICLE</w:t>
      </w:r>
      <w:r w:rsidR="00BB66F7">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18</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655C9B43" w14:textId="77777777" w:rsidR="00BB66F7" w:rsidRPr="008C014F" w:rsidRDefault="009F095C" w:rsidP="00BB66F7">
                            <w:pPr>
                              <w:rPr>
                                <w:rFonts w:asciiTheme="majorHAnsi" w:hAnsiTheme="majorHAnsi" w:cstheme="majorHAnsi"/>
                                <w:b/>
                                <w:i/>
                              </w:rPr>
                            </w:pPr>
                            <w:r>
                              <w:rPr>
                                <w:b/>
                                <w:i/>
                              </w:rPr>
                              <w:t>“</w:t>
                            </w:r>
                            <w:proofErr w:type="spellStart"/>
                            <w:r w:rsidR="00BB66F7" w:rsidRPr="008C014F">
                              <w:rPr>
                                <w:rFonts w:asciiTheme="majorHAnsi" w:hAnsiTheme="majorHAnsi" w:cstheme="majorHAnsi"/>
                                <w:b/>
                                <w:i/>
                              </w:rPr>
                              <w:t>Right</w:t>
                            </w:r>
                            <w:proofErr w:type="spellEnd"/>
                            <w:r w:rsidR="00BB66F7" w:rsidRPr="008C014F">
                              <w:rPr>
                                <w:rFonts w:asciiTheme="majorHAnsi" w:hAnsiTheme="majorHAnsi" w:cstheme="majorHAnsi"/>
                                <w:b/>
                                <w:i/>
                              </w:rPr>
                              <w:t xml:space="preserve"> </w:t>
                            </w:r>
                            <w:proofErr w:type="spellStart"/>
                            <w:r w:rsidR="00BB66F7" w:rsidRPr="008C014F">
                              <w:rPr>
                                <w:rFonts w:asciiTheme="majorHAnsi" w:hAnsiTheme="majorHAnsi" w:cstheme="majorHAnsi"/>
                                <w:b/>
                                <w:i/>
                              </w:rPr>
                              <w:t>to</w:t>
                            </w:r>
                            <w:proofErr w:type="spellEnd"/>
                            <w:r w:rsidR="00BB66F7" w:rsidRPr="008C014F">
                              <w:rPr>
                                <w:rFonts w:asciiTheme="majorHAnsi" w:hAnsiTheme="majorHAnsi" w:cstheme="majorHAnsi"/>
                                <w:b/>
                                <w:i/>
                              </w:rPr>
                              <w:t xml:space="preserve"> </w:t>
                            </w:r>
                            <w:proofErr w:type="spellStart"/>
                            <w:r w:rsidR="00BB66F7" w:rsidRPr="008C014F">
                              <w:rPr>
                                <w:rFonts w:asciiTheme="majorHAnsi" w:hAnsiTheme="majorHAnsi" w:cstheme="majorHAnsi"/>
                                <w:b/>
                                <w:i/>
                              </w:rPr>
                              <w:t>asylum</w:t>
                            </w:r>
                            <w:proofErr w:type="spellEnd"/>
                            <w:r w:rsidR="00BB66F7" w:rsidRPr="008C014F">
                              <w:rPr>
                                <w:rFonts w:asciiTheme="majorHAnsi" w:hAnsiTheme="majorHAnsi" w:cstheme="majorHAnsi"/>
                                <w:b/>
                                <w:i/>
                              </w:rPr>
                              <w:t xml:space="preserve"> </w:t>
                            </w:r>
                          </w:p>
                          <w:p w14:paraId="2CBD4B88" w14:textId="77777777" w:rsidR="00BB66F7" w:rsidRPr="008C014F" w:rsidRDefault="00BB66F7" w:rsidP="00BB66F7">
                            <w:pPr>
                              <w:jc w:val="both"/>
                              <w:rPr>
                                <w:rFonts w:asciiTheme="majorHAnsi" w:hAnsiTheme="majorHAnsi" w:cstheme="majorHAnsi"/>
                              </w:rPr>
                            </w:pPr>
                          </w:p>
                          <w:p w14:paraId="75077359" w14:textId="77777777" w:rsidR="00BB66F7" w:rsidRPr="008C014F" w:rsidRDefault="00BB66F7" w:rsidP="00BB66F7">
                            <w:pPr>
                              <w:pBdr>
                                <w:top w:val="nil"/>
                                <w:left w:val="nil"/>
                                <w:bottom w:val="nil"/>
                                <w:right w:val="nil"/>
                                <w:between w:val="nil"/>
                              </w:pBdr>
                              <w:jc w:val="both"/>
                              <w:rPr>
                                <w:rFonts w:asciiTheme="majorHAnsi" w:hAnsiTheme="majorHAnsi" w:cstheme="majorHAnsi"/>
                                <w:b/>
                                <w:bCs/>
                                <w:i/>
                                <w:lang w:val="en-US"/>
                              </w:rPr>
                            </w:pP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right</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to</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asylum</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shall</w:t>
                            </w:r>
                            <w:proofErr w:type="spellEnd"/>
                            <w:r w:rsidRPr="008C014F">
                              <w:rPr>
                                <w:rFonts w:asciiTheme="majorHAnsi" w:hAnsiTheme="majorHAnsi" w:cstheme="majorHAnsi"/>
                                <w:i/>
                              </w:rPr>
                              <w:t xml:space="preserve"> be </w:t>
                            </w:r>
                            <w:proofErr w:type="spellStart"/>
                            <w:r w:rsidRPr="008C014F">
                              <w:rPr>
                                <w:rFonts w:asciiTheme="majorHAnsi" w:hAnsiTheme="majorHAnsi" w:cstheme="majorHAnsi"/>
                                <w:i/>
                              </w:rPr>
                              <w:t>guaranteed</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with</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due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respect</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for</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rules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Geneva </w:t>
                            </w:r>
                            <w:proofErr w:type="spellStart"/>
                            <w:r w:rsidRPr="008C014F">
                              <w:rPr>
                                <w:rFonts w:asciiTheme="majorHAnsi" w:hAnsiTheme="majorHAnsi" w:cstheme="majorHAnsi"/>
                                <w:i/>
                              </w:rPr>
                              <w:t>Convention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28 </w:t>
                            </w:r>
                            <w:proofErr w:type="spellStart"/>
                            <w:r w:rsidRPr="008C014F">
                              <w:rPr>
                                <w:rFonts w:asciiTheme="majorHAnsi" w:hAnsiTheme="majorHAnsi" w:cstheme="majorHAnsi"/>
                                <w:i/>
                              </w:rPr>
                              <w:t>July</w:t>
                            </w:r>
                            <w:proofErr w:type="spellEnd"/>
                            <w:r w:rsidRPr="008C014F">
                              <w:rPr>
                                <w:rFonts w:asciiTheme="majorHAnsi" w:hAnsiTheme="majorHAnsi" w:cstheme="majorHAnsi"/>
                                <w:i/>
                              </w:rPr>
                              <w:t xml:space="preserve"> 1951 and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Protocol</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31 </w:t>
                            </w:r>
                            <w:proofErr w:type="spellStart"/>
                            <w:r w:rsidRPr="008C014F">
                              <w:rPr>
                                <w:rFonts w:asciiTheme="majorHAnsi" w:hAnsiTheme="majorHAnsi" w:cstheme="majorHAnsi"/>
                                <w:i/>
                              </w:rPr>
                              <w:t>January</w:t>
                            </w:r>
                            <w:proofErr w:type="spellEnd"/>
                            <w:r w:rsidRPr="008C014F">
                              <w:rPr>
                                <w:rFonts w:asciiTheme="majorHAnsi" w:hAnsiTheme="majorHAnsi" w:cstheme="majorHAnsi"/>
                                <w:i/>
                              </w:rPr>
                              <w:t xml:space="preserve"> 1967 </w:t>
                            </w:r>
                            <w:proofErr w:type="spellStart"/>
                            <w:r w:rsidRPr="008C014F">
                              <w:rPr>
                                <w:rFonts w:asciiTheme="majorHAnsi" w:hAnsiTheme="majorHAnsi" w:cstheme="majorHAnsi"/>
                                <w:i/>
                              </w:rPr>
                              <w:t>relating</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to</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gramStart"/>
                            <w:r w:rsidRPr="008C014F">
                              <w:rPr>
                                <w:rFonts w:asciiTheme="majorHAnsi" w:hAnsiTheme="majorHAnsi" w:cstheme="majorHAnsi"/>
                                <w:i/>
                              </w:rPr>
                              <w:t>status</w:t>
                            </w:r>
                            <w:proofErr w:type="gram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refugees</w:t>
                            </w:r>
                            <w:proofErr w:type="spellEnd"/>
                            <w:r w:rsidRPr="008C014F">
                              <w:rPr>
                                <w:rFonts w:asciiTheme="majorHAnsi" w:hAnsiTheme="majorHAnsi" w:cstheme="majorHAnsi"/>
                                <w:i/>
                              </w:rPr>
                              <w:t xml:space="preserve"> and in </w:t>
                            </w:r>
                            <w:proofErr w:type="spellStart"/>
                            <w:r w:rsidRPr="008C014F">
                              <w:rPr>
                                <w:rFonts w:asciiTheme="majorHAnsi" w:hAnsiTheme="majorHAnsi" w:cstheme="majorHAnsi"/>
                                <w:i/>
                              </w:rPr>
                              <w:t>accordance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with</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Treaty</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European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Union</w:t>
                            </w:r>
                            <w:proofErr w:type="spellEnd"/>
                            <w:r w:rsidRPr="008C014F">
                              <w:rPr>
                                <w:rFonts w:asciiTheme="majorHAnsi" w:hAnsiTheme="majorHAnsi" w:cstheme="majorHAnsi"/>
                                <w:i/>
                              </w:rPr>
                              <w:t xml:space="preserve"> and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Treaty</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Functioning</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European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Union</w:t>
                            </w:r>
                            <w:proofErr w:type="spellEnd"/>
                            <w:r w:rsidRPr="008C014F">
                              <w:rPr>
                                <w:rFonts w:asciiTheme="majorHAnsi" w:hAnsiTheme="majorHAnsi" w:cstheme="majorHAnsi"/>
                                <w:i/>
                              </w:rPr>
                              <w:t>.”</w:t>
                            </w: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655C9B43" w14:textId="77777777" w:rsidR="00BB66F7" w:rsidRPr="008C014F" w:rsidRDefault="009F095C" w:rsidP="00BB66F7">
                      <w:pPr>
                        <w:rPr>
                          <w:rFonts w:asciiTheme="majorHAnsi" w:hAnsiTheme="majorHAnsi" w:cstheme="majorHAnsi"/>
                          <w:b/>
                          <w:i/>
                        </w:rPr>
                      </w:pPr>
                      <w:r>
                        <w:rPr>
                          <w:b/>
                          <w:i/>
                        </w:rPr>
                        <w:t>“</w:t>
                      </w:r>
                      <w:proofErr w:type="spellStart"/>
                      <w:r w:rsidR="00BB66F7" w:rsidRPr="008C014F">
                        <w:rPr>
                          <w:rFonts w:asciiTheme="majorHAnsi" w:hAnsiTheme="majorHAnsi" w:cstheme="majorHAnsi"/>
                          <w:b/>
                          <w:i/>
                        </w:rPr>
                        <w:t>Right</w:t>
                      </w:r>
                      <w:proofErr w:type="spellEnd"/>
                      <w:r w:rsidR="00BB66F7" w:rsidRPr="008C014F">
                        <w:rPr>
                          <w:rFonts w:asciiTheme="majorHAnsi" w:hAnsiTheme="majorHAnsi" w:cstheme="majorHAnsi"/>
                          <w:b/>
                          <w:i/>
                        </w:rPr>
                        <w:t xml:space="preserve"> </w:t>
                      </w:r>
                      <w:proofErr w:type="spellStart"/>
                      <w:r w:rsidR="00BB66F7" w:rsidRPr="008C014F">
                        <w:rPr>
                          <w:rFonts w:asciiTheme="majorHAnsi" w:hAnsiTheme="majorHAnsi" w:cstheme="majorHAnsi"/>
                          <w:b/>
                          <w:i/>
                        </w:rPr>
                        <w:t>to</w:t>
                      </w:r>
                      <w:proofErr w:type="spellEnd"/>
                      <w:r w:rsidR="00BB66F7" w:rsidRPr="008C014F">
                        <w:rPr>
                          <w:rFonts w:asciiTheme="majorHAnsi" w:hAnsiTheme="majorHAnsi" w:cstheme="majorHAnsi"/>
                          <w:b/>
                          <w:i/>
                        </w:rPr>
                        <w:t xml:space="preserve"> </w:t>
                      </w:r>
                      <w:proofErr w:type="spellStart"/>
                      <w:r w:rsidR="00BB66F7" w:rsidRPr="008C014F">
                        <w:rPr>
                          <w:rFonts w:asciiTheme="majorHAnsi" w:hAnsiTheme="majorHAnsi" w:cstheme="majorHAnsi"/>
                          <w:b/>
                          <w:i/>
                        </w:rPr>
                        <w:t>asylum</w:t>
                      </w:r>
                      <w:proofErr w:type="spellEnd"/>
                      <w:r w:rsidR="00BB66F7" w:rsidRPr="008C014F">
                        <w:rPr>
                          <w:rFonts w:asciiTheme="majorHAnsi" w:hAnsiTheme="majorHAnsi" w:cstheme="majorHAnsi"/>
                          <w:b/>
                          <w:i/>
                        </w:rPr>
                        <w:t xml:space="preserve"> </w:t>
                      </w:r>
                    </w:p>
                    <w:p w14:paraId="2CBD4B88" w14:textId="77777777" w:rsidR="00BB66F7" w:rsidRPr="008C014F" w:rsidRDefault="00BB66F7" w:rsidP="00BB66F7">
                      <w:pPr>
                        <w:jc w:val="both"/>
                        <w:rPr>
                          <w:rFonts w:asciiTheme="majorHAnsi" w:hAnsiTheme="majorHAnsi" w:cstheme="majorHAnsi"/>
                        </w:rPr>
                      </w:pPr>
                    </w:p>
                    <w:p w14:paraId="75077359" w14:textId="77777777" w:rsidR="00BB66F7" w:rsidRPr="008C014F" w:rsidRDefault="00BB66F7" w:rsidP="00BB66F7">
                      <w:pPr>
                        <w:pBdr>
                          <w:top w:val="nil"/>
                          <w:left w:val="nil"/>
                          <w:bottom w:val="nil"/>
                          <w:right w:val="nil"/>
                          <w:between w:val="nil"/>
                        </w:pBdr>
                        <w:jc w:val="both"/>
                        <w:rPr>
                          <w:rFonts w:asciiTheme="majorHAnsi" w:hAnsiTheme="majorHAnsi" w:cstheme="majorHAnsi"/>
                          <w:b/>
                          <w:bCs/>
                          <w:i/>
                          <w:lang w:val="en-US"/>
                        </w:rPr>
                      </w:pP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right</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to</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asylum</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shall</w:t>
                      </w:r>
                      <w:proofErr w:type="spellEnd"/>
                      <w:r w:rsidRPr="008C014F">
                        <w:rPr>
                          <w:rFonts w:asciiTheme="majorHAnsi" w:hAnsiTheme="majorHAnsi" w:cstheme="majorHAnsi"/>
                          <w:i/>
                        </w:rPr>
                        <w:t xml:space="preserve"> be </w:t>
                      </w:r>
                      <w:proofErr w:type="spellStart"/>
                      <w:r w:rsidRPr="008C014F">
                        <w:rPr>
                          <w:rFonts w:asciiTheme="majorHAnsi" w:hAnsiTheme="majorHAnsi" w:cstheme="majorHAnsi"/>
                          <w:i/>
                        </w:rPr>
                        <w:t>guaranteed</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with</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due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respect</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for</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rules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Geneva </w:t>
                      </w:r>
                      <w:proofErr w:type="spellStart"/>
                      <w:r w:rsidRPr="008C014F">
                        <w:rPr>
                          <w:rFonts w:asciiTheme="majorHAnsi" w:hAnsiTheme="majorHAnsi" w:cstheme="majorHAnsi"/>
                          <w:i/>
                        </w:rPr>
                        <w:t>Convention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28 </w:t>
                      </w:r>
                      <w:proofErr w:type="spellStart"/>
                      <w:r w:rsidRPr="008C014F">
                        <w:rPr>
                          <w:rFonts w:asciiTheme="majorHAnsi" w:hAnsiTheme="majorHAnsi" w:cstheme="majorHAnsi"/>
                          <w:i/>
                        </w:rPr>
                        <w:t>July</w:t>
                      </w:r>
                      <w:proofErr w:type="spellEnd"/>
                      <w:r w:rsidRPr="008C014F">
                        <w:rPr>
                          <w:rFonts w:asciiTheme="majorHAnsi" w:hAnsiTheme="majorHAnsi" w:cstheme="majorHAnsi"/>
                          <w:i/>
                        </w:rPr>
                        <w:t xml:space="preserve"> 1951 and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Protocol</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31 </w:t>
                      </w:r>
                      <w:proofErr w:type="spellStart"/>
                      <w:r w:rsidRPr="008C014F">
                        <w:rPr>
                          <w:rFonts w:asciiTheme="majorHAnsi" w:hAnsiTheme="majorHAnsi" w:cstheme="majorHAnsi"/>
                          <w:i/>
                        </w:rPr>
                        <w:t>January</w:t>
                      </w:r>
                      <w:proofErr w:type="spellEnd"/>
                      <w:r w:rsidRPr="008C014F">
                        <w:rPr>
                          <w:rFonts w:asciiTheme="majorHAnsi" w:hAnsiTheme="majorHAnsi" w:cstheme="majorHAnsi"/>
                          <w:i/>
                        </w:rPr>
                        <w:t xml:space="preserve"> 1967 </w:t>
                      </w:r>
                      <w:proofErr w:type="spellStart"/>
                      <w:r w:rsidRPr="008C014F">
                        <w:rPr>
                          <w:rFonts w:asciiTheme="majorHAnsi" w:hAnsiTheme="majorHAnsi" w:cstheme="majorHAnsi"/>
                          <w:i/>
                        </w:rPr>
                        <w:t>relating</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to</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gramStart"/>
                      <w:r w:rsidRPr="008C014F">
                        <w:rPr>
                          <w:rFonts w:asciiTheme="majorHAnsi" w:hAnsiTheme="majorHAnsi" w:cstheme="majorHAnsi"/>
                          <w:i/>
                        </w:rPr>
                        <w:t>status</w:t>
                      </w:r>
                      <w:proofErr w:type="gram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refugees</w:t>
                      </w:r>
                      <w:proofErr w:type="spellEnd"/>
                      <w:r w:rsidRPr="008C014F">
                        <w:rPr>
                          <w:rFonts w:asciiTheme="majorHAnsi" w:hAnsiTheme="majorHAnsi" w:cstheme="majorHAnsi"/>
                          <w:i/>
                        </w:rPr>
                        <w:t xml:space="preserve"> and in </w:t>
                      </w:r>
                      <w:proofErr w:type="spellStart"/>
                      <w:r w:rsidRPr="008C014F">
                        <w:rPr>
                          <w:rFonts w:asciiTheme="majorHAnsi" w:hAnsiTheme="majorHAnsi" w:cstheme="majorHAnsi"/>
                          <w:i/>
                        </w:rPr>
                        <w:t>accordance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with</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Treaty</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European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Union</w:t>
                      </w:r>
                      <w:proofErr w:type="spellEnd"/>
                      <w:r w:rsidRPr="008C014F">
                        <w:rPr>
                          <w:rFonts w:asciiTheme="majorHAnsi" w:hAnsiTheme="majorHAnsi" w:cstheme="majorHAnsi"/>
                          <w:i/>
                        </w:rPr>
                        <w:t xml:space="preserve"> and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Treaty</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Functioning</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of</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the</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European</w:t>
                      </w:r>
                      <w:proofErr w:type="spellEnd"/>
                      <w:r w:rsidRPr="008C014F">
                        <w:rPr>
                          <w:rFonts w:asciiTheme="majorHAnsi" w:hAnsiTheme="majorHAnsi" w:cstheme="majorHAnsi"/>
                          <w:i/>
                        </w:rPr>
                        <w:t xml:space="preserve"> </w:t>
                      </w:r>
                      <w:proofErr w:type="spellStart"/>
                      <w:r w:rsidRPr="008C014F">
                        <w:rPr>
                          <w:rFonts w:asciiTheme="majorHAnsi" w:hAnsiTheme="majorHAnsi" w:cstheme="majorHAnsi"/>
                          <w:i/>
                        </w:rPr>
                        <w:t>Union</w:t>
                      </w:r>
                      <w:proofErr w:type="spellEnd"/>
                      <w:r w:rsidRPr="008C014F">
                        <w:rPr>
                          <w:rFonts w:asciiTheme="majorHAnsi" w:hAnsiTheme="majorHAnsi" w:cstheme="majorHAnsi"/>
                          <w:i/>
                        </w:rPr>
                        <w:t>.”</w:t>
                      </w: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BB66F7" w:rsidRPr="008E2D64" w14:paraId="7247B80F" w14:textId="77777777" w:rsidTr="00CA5340">
        <w:tc>
          <w:tcPr>
            <w:tcW w:w="8494" w:type="dxa"/>
          </w:tcPr>
          <w:p w14:paraId="0D9B8B13" w14:textId="77777777" w:rsidR="00BB66F7" w:rsidRPr="008C014F" w:rsidRDefault="00BB66F7" w:rsidP="00BB66F7">
            <w:pPr>
              <w:rPr>
                <w:rFonts w:asciiTheme="majorHAnsi" w:hAnsiTheme="majorHAnsi" w:cstheme="majorHAnsi"/>
                <w:i/>
                <w:iCs/>
                <w:lang w:val="en-US"/>
              </w:rPr>
            </w:pPr>
          </w:p>
          <w:p w14:paraId="23330144"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A right to asylum under article 18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sets out the general obligation of the Union and of its Member States to respect the rights of refugees under the </w:t>
            </w:r>
            <w:r w:rsidRPr="008C014F">
              <w:rPr>
                <w:rFonts w:asciiTheme="majorHAnsi" w:hAnsiTheme="majorHAnsi" w:cstheme="majorHAnsi"/>
                <w:color w:val="002060"/>
                <w:lang w:val="en-US"/>
              </w:rPr>
              <w:t xml:space="preserve">Convention Relating to the Status of Refugees </w:t>
            </w:r>
            <w:r w:rsidRPr="008C014F">
              <w:rPr>
                <w:rFonts w:asciiTheme="majorHAnsi" w:hAnsiTheme="majorHAnsi" w:cstheme="majorHAnsi"/>
                <w:lang w:val="en-US"/>
              </w:rPr>
              <w:t>(1954, hence “Geneva Convention”) and its 1967 Protocol.</w:t>
            </w:r>
          </w:p>
          <w:p w14:paraId="76C44B5E" w14:textId="77777777" w:rsidR="00BB66F7" w:rsidRPr="008C014F" w:rsidRDefault="00BB66F7" w:rsidP="00BB66F7">
            <w:pPr>
              <w:jc w:val="both"/>
              <w:rPr>
                <w:rFonts w:asciiTheme="majorHAnsi" w:hAnsiTheme="majorHAnsi" w:cstheme="majorHAnsi"/>
                <w:lang w:val="en-US"/>
              </w:rPr>
            </w:pPr>
          </w:p>
          <w:p w14:paraId="638C41CB"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Article 18 is based on </w:t>
            </w:r>
            <w:r w:rsidRPr="008C014F">
              <w:rPr>
                <w:rFonts w:asciiTheme="majorHAnsi" w:hAnsiTheme="majorHAnsi" w:cstheme="majorHAnsi"/>
                <w:color w:val="002060"/>
                <w:lang w:val="en-US"/>
              </w:rPr>
              <w:t xml:space="preserve">Article 78 of the Treaty on the Functioning of the European Union </w:t>
            </w:r>
            <w:r w:rsidRPr="008C014F">
              <w:rPr>
                <w:rFonts w:asciiTheme="majorHAnsi" w:hAnsiTheme="majorHAnsi" w:cstheme="majorHAnsi"/>
                <w:lang w:val="en-US"/>
              </w:rPr>
              <w:t>(formerly TEC article 63). This provision of EU primary law allows the Union to create a common policy on asylum, subsidiary protection, and temporary protection. The goal is to offer an appropriate protection status to third-country nationals who require international protection while ensuring compliance with the principle of non-refoulement as well as other international standards of protecting individuals in need.</w:t>
            </w:r>
          </w:p>
          <w:p w14:paraId="16C4F146" w14:textId="77777777" w:rsidR="00BB66F7" w:rsidRPr="008C014F" w:rsidRDefault="00BB66F7" w:rsidP="00BB66F7">
            <w:pPr>
              <w:jc w:val="both"/>
              <w:rPr>
                <w:rFonts w:asciiTheme="majorHAnsi" w:hAnsiTheme="majorHAnsi" w:cstheme="majorHAnsi"/>
                <w:lang w:val="en-US"/>
              </w:rPr>
            </w:pPr>
          </w:p>
          <w:p w14:paraId="1C68CCD2"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This has been achieved with the gradual adoption of instruments establishing the </w:t>
            </w:r>
            <w:r w:rsidRPr="008C014F">
              <w:rPr>
                <w:rFonts w:asciiTheme="majorHAnsi" w:hAnsiTheme="majorHAnsi" w:cstheme="majorHAnsi"/>
                <w:color w:val="002060"/>
                <w:lang w:val="en-US"/>
              </w:rPr>
              <w:t xml:space="preserve">Common European Asylum System </w:t>
            </w:r>
            <w:r w:rsidRPr="008C014F">
              <w:rPr>
                <w:rFonts w:asciiTheme="majorHAnsi" w:hAnsiTheme="majorHAnsi" w:cstheme="majorHAnsi"/>
                <w:lang w:val="en-US"/>
              </w:rPr>
              <w:t>(“CEAS”), a comprehensive normative framework of EU directives and regulations establishing common rules for granting international protection and temporary protection to third-country nationals in the EU.</w:t>
            </w:r>
          </w:p>
          <w:p w14:paraId="7B864537" w14:textId="77777777" w:rsidR="00BB66F7" w:rsidRPr="008C014F" w:rsidRDefault="00BB66F7" w:rsidP="00BB66F7">
            <w:pPr>
              <w:jc w:val="both"/>
              <w:rPr>
                <w:rFonts w:asciiTheme="majorHAnsi" w:hAnsiTheme="majorHAnsi" w:cstheme="majorHAnsi"/>
                <w:lang w:val="en-US"/>
              </w:rPr>
            </w:pPr>
          </w:p>
          <w:p w14:paraId="691A4045"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Three issues are central to article 18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w:t>
            </w:r>
          </w:p>
          <w:p w14:paraId="2F20897C" w14:textId="77777777" w:rsidR="00BB66F7" w:rsidRPr="008C014F" w:rsidRDefault="00BB66F7" w:rsidP="00BB66F7">
            <w:pPr>
              <w:jc w:val="both"/>
              <w:rPr>
                <w:rFonts w:asciiTheme="majorHAnsi" w:hAnsiTheme="majorHAnsi" w:cstheme="majorHAnsi"/>
                <w:b/>
                <w:bCs/>
                <w:lang w:val="en-US"/>
              </w:rPr>
            </w:pPr>
          </w:p>
          <w:p w14:paraId="0E471B8A" w14:textId="77777777" w:rsidR="00BB66F7" w:rsidRPr="008C014F" w:rsidRDefault="00BB66F7" w:rsidP="00BB66F7">
            <w:pPr>
              <w:jc w:val="both"/>
              <w:rPr>
                <w:rFonts w:asciiTheme="majorHAnsi" w:hAnsiTheme="majorHAnsi" w:cstheme="majorHAnsi"/>
                <w:b/>
                <w:bCs/>
                <w:lang w:val="en-US"/>
              </w:rPr>
            </w:pPr>
            <w:r w:rsidRPr="008C014F">
              <w:rPr>
                <w:rFonts w:asciiTheme="majorHAnsi" w:hAnsiTheme="majorHAnsi" w:cstheme="majorHAnsi"/>
                <w:b/>
                <w:bCs/>
                <w:lang w:val="en-US"/>
              </w:rPr>
              <w:t>Entitlement? To What and for Whom?</w:t>
            </w:r>
          </w:p>
          <w:p w14:paraId="58F8272B" w14:textId="77777777" w:rsidR="00BB66F7" w:rsidRPr="008C014F" w:rsidRDefault="00BB66F7" w:rsidP="00BB66F7">
            <w:pPr>
              <w:jc w:val="both"/>
              <w:rPr>
                <w:rFonts w:asciiTheme="majorHAnsi" w:hAnsiTheme="majorHAnsi" w:cstheme="majorHAnsi"/>
                <w:lang w:val="en-US"/>
              </w:rPr>
            </w:pPr>
            <w:r>
              <w:rPr>
                <w:rFonts w:asciiTheme="majorHAnsi" w:hAnsiTheme="majorHAnsi" w:cstheme="majorHAnsi"/>
                <w:lang w:val="en-US"/>
              </w:rPr>
              <w:t>T</w:t>
            </w:r>
            <w:r w:rsidRPr="008C014F">
              <w:rPr>
                <w:rFonts w:asciiTheme="majorHAnsi" w:hAnsiTheme="majorHAnsi" w:cstheme="majorHAnsi"/>
                <w:lang w:val="en-US"/>
              </w:rPr>
              <w:t xml:space="preserve">he material scope of the right to asylum, as conveyed by </w:t>
            </w:r>
            <w:r>
              <w:rPr>
                <w:rFonts w:asciiTheme="majorHAnsi" w:hAnsiTheme="majorHAnsi" w:cstheme="majorHAnsi"/>
                <w:lang w:val="en-US"/>
              </w:rPr>
              <w:t xml:space="preserve">the </w:t>
            </w:r>
            <w:r w:rsidRPr="008C014F">
              <w:rPr>
                <w:rFonts w:asciiTheme="majorHAnsi" w:hAnsiTheme="majorHAnsi" w:cstheme="majorHAnsi"/>
                <w:lang w:val="en-US"/>
              </w:rPr>
              <w:t xml:space="preserve">wording and the title of Article 18, is not immediately self-evident. A first question emerges: </w:t>
            </w:r>
            <w:r w:rsidRPr="008C014F">
              <w:rPr>
                <w:rFonts w:asciiTheme="majorHAnsi" w:hAnsiTheme="majorHAnsi" w:cstheme="majorHAnsi"/>
                <w:b/>
                <w:bCs/>
                <w:lang w:val="en-US"/>
              </w:rPr>
              <w:t xml:space="preserve">What is asylum? And who is entitled to it? </w:t>
            </w:r>
          </w:p>
          <w:p w14:paraId="430372A4" w14:textId="77777777" w:rsidR="00BB66F7" w:rsidRDefault="00BB66F7" w:rsidP="00BB66F7">
            <w:pPr>
              <w:jc w:val="both"/>
              <w:rPr>
                <w:rFonts w:asciiTheme="majorHAnsi" w:hAnsiTheme="majorHAnsi" w:cstheme="majorHAnsi"/>
                <w:lang w:val="en-US"/>
              </w:rPr>
            </w:pPr>
          </w:p>
          <w:p w14:paraId="7651C522"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In international law, the institution of </w:t>
            </w:r>
            <w:r w:rsidRPr="008C014F">
              <w:rPr>
                <w:rStyle w:val="Accentuation"/>
                <w:rFonts w:asciiTheme="majorHAnsi" w:hAnsiTheme="majorHAnsi" w:cstheme="majorHAnsi"/>
                <w:color w:val="0E101A"/>
                <w:lang w:val="en-US"/>
              </w:rPr>
              <w:t>asylum</w:t>
            </w:r>
            <w:r w:rsidRPr="008C014F">
              <w:rPr>
                <w:rFonts w:asciiTheme="majorHAnsi" w:hAnsiTheme="majorHAnsi" w:cstheme="majorHAnsi"/>
                <w:lang w:val="en-US"/>
              </w:rPr>
              <w:t xml:space="preserve"> is generally understood as a </w:t>
            </w:r>
            <w:r w:rsidRPr="008C014F">
              <w:rPr>
                <w:rFonts w:asciiTheme="majorHAnsi" w:hAnsiTheme="majorHAnsi" w:cstheme="majorHAnsi"/>
                <w:b/>
                <w:bCs/>
                <w:lang w:val="en-US"/>
              </w:rPr>
              <w:t xml:space="preserve">provision of protection, by a host state within its territory, to foreign </w:t>
            </w:r>
            <w:proofErr w:type="gramStart"/>
            <w:r w:rsidRPr="008C014F">
              <w:rPr>
                <w:rFonts w:asciiTheme="majorHAnsi" w:hAnsiTheme="majorHAnsi" w:cstheme="majorHAnsi"/>
                <w:b/>
                <w:bCs/>
                <w:lang w:val="en-US"/>
              </w:rPr>
              <w:t>nationals  facing</w:t>
            </w:r>
            <w:proofErr w:type="gramEnd"/>
            <w:r w:rsidRPr="008C014F">
              <w:rPr>
                <w:rFonts w:asciiTheme="majorHAnsi" w:hAnsiTheme="majorHAnsi" w:cstheme="majorHAnsi"/>
                <w:b/>
                <w:bCs/>
                <w:lang w:val="en-US"/>
              </w:rPr>
              <w:t xml:space="preserve"> acts of persecution in their country of origin</w:t>
            </w:r>
            <w:r w:rsidRPr="008C014F">
              <w:rPr>
                <w:rFonts w:asciiTheme="majorHAnsi" w:hAnsiTheme="majorHAnsi" w:cstheme="majorHAnsi"/>
                <w:lang w:val="en-US"/>
              </w:rPr>
              <w:t xml:space="preserve">. The term “asylum” also takes center stage in the context of article 18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And as it follows from the EU secondary legislation and the vast case-law of the CJEU, this term might have a similarly broad meaning.</w:t>
            </w:r>
          </w:p>
          <w:p w14:paraId="3A049519" w14:textId="77777777" w:rsidR="00BB66F7" w:rsidRPr="008C014F" w:rsidRDefault="00BB66F7" w:rsidP="00BB66F7">
            <w:pPr>
              <w:jc w:val="both"/>
              <w:rPr>
                <w:rFonts w:asciiTheme="majorHAnsi" w:hAnsiTheme="majorHAnsi" w:cstheme="majorHAnsi"/>
                <w:noProof/>
                <w:lang w:val="en-US"/>
              </w:rPr>
            </w:pPr>
          </w:p>
          <w:p w14:paraId="5CD8C1B6"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First, Article 18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explicitly refers to the Geneva Convention,</w:t>
            </w:r>
            <w:r w:rsidRPr="008C014F" w:rsidDel="0057050D">
              <w:rPr>
                <w:rFonts w:asciiTheme="majorHAnsi" w:hAnsiTheme="majorHAnsi" w:cstheme="majorHAnsi"/>
                <w:lang w:val="en-US"/>
              </w:rPr>
              <w:t xml:space="preserve"> </w:t>
            </w:r>
            <w:r w:rsidRPr="008C014F">
              <w:rPr>
                <w:rFonts w:asciiTheme="majorHAnsi" w:hAnsiTheme="majorHAnsi" w:cstheme="majorHAnsi"/>
                <w:lang w:val="en-US"/>
              </w:rPr>
              <w:t xml:space="preserve">a cornerstone of international refugee law which defines the </w:t>
            </w:r>
            <w:r w:rsidRPr="008C014F">
              <w:rPr>
                <w:rFonts w:asciiTheme="majorHAnsi" w:hAnsiTheme="majorHAnsi" w:cstheme="majorHAnsi"/>
                <w:i/>
                <w:iCs/>
                <w:lang w:val="en-US"/>
              </w:rPr>
              <w:t>refugee </w:t>
            </w:r>
            <w:r w:rsidRPr="008C014F">
              <w:rPr>
                <w:rFonts w:asciiTheme="majorHAnsi" w:hAnsiTheme="majorHAnsi" w:cstheme="majorHAnsi"/>
                <w:lang w:val="en-US"/>
              </w:rPr>
              <w:t>status</w:t>
            </w:r>
            <w:r w:rsidRPr="008C014F">
              <w:rPr>
                <w:rFonts w:asciiTheme="majorHAnsi" w:hAnsiTheme="majorHAnsi" w:cstheme="majorHAnsi"/>
                <w:i/>
                <w:iCs/>
                <w:lang w:val="en-US"/>
              </w:rPr>
              <w:t xml:space="preserve"> </w:t>
            </w:r>
            <w:r w:rsidRPr="008C014F">
              <w:rPr>
                <w:rFonts w:asciiTheme="majorHAnsi" w:hAnsiTheme="majorHAnsi" w:cstheme="majorHAnsi"/>
                <w:lang w:val="en-US"/>
              </w:rPr>
              <w:t xml:space="preserve">and what rights are to be </w:t>
            </w:r>
            <w:r w:rsidRPr="008C014F">
              <w:rPr>
                <w:rFonts w:asciiTheme="majorHAnsi" w:hAnsiTheme="majorHAnsi" w:cstheme="majorHAnsi"/>
                <w:lang w:val="en-US"/>
              </w:rPr>
              <w:lastRenderedPageBreak/>
              <w:t>provided to such a person, including the core</w:t>
            </w:r>
            <w:r>
              <w:rPr>
                <w:rFonts w:asciiTheme="majorHAnsi" w:hAnsiTheme="majorHAnsi" w:cstheme="majorHAnsi"/>
                <w:lang w:val="en-US"/>
              </w:rPr>
              <w:t xml:space="preserve"> </w:t>
            </w:r>
            <w:r w:rsidRPr="008C014F">
              <w:rPr>
                <w:rFonts w:asciiTheme="majorHAnsi" w:hAnsiTheme="majorHAnsi" w:cstheme="majorHAnsi"/>
                <w:lang w:val="en-US"/>
              </w:rPr>
              <w:t xml:space="preserve">obligation of States not to return the </w:t>
            </w:r>
            <w:proofErr w:type="gramStart"/>
            <w:r w:rsidRPr="008C014F">
              <w:rPr>
                <w:rFonts w:asciiTheme="majorHAnsi" w:hAnsiTheme="majorHAnsi" w:cstheme="majorHAnsi"/>
                <w:lang w:val="en-US"/>
              </w:rPr>
              <w:t>individuals  to</w:t>
            </w:r>
            <w:proofErr w:type="gramEnd"/>
            <w:r w:rsidRPr="008C014F">
              <w:rPr>
                <w:rFonts w:asciiTheme="majorHAnsi" w:hAnsiTheme="majorHAnsi" w:cstheme="majorHAnsi"/>
                <w:lang w:val="en-US"/>
              </w:rPr>
              <w:t xml:space="preserve"> a countries where their life or freedom would be in danger (</w:t>
            </w:r>
            <w:r w:rsidRPr="008C014F">
              <w:rPr>
                <w:rFonts w:asciiTheme="majorHAnsi" w:hAnsiTheme="majorHAnsi" w:cstheme="majorHAnsi"/>
                <w:b/>
                <w:bCs/>
                <w:lang w:val="en-US"/>
              </w:rPr>
              <w:t xml:space="preserve">the principle of </w:t>
            </w:r>
            <w:r w:rsidRPr="008C014F">
              <w:rPr>
                <w:rFonts w:asciiTheme="majorHAnsi" w:hAnsiTheme="majorHAnsi" w:cstheme="majorHAnsi"/>
                <w:b/>
                <w:bCs/>
                <w:i/>
                <w:iCs/>
                <w:lang w:val="en-US"/>
              </w:rPr>
              <w:t>non-refoulement</w:t>
            </w:r>
            <w:r w:rsidRPr="008C014F">
              <w:rPr>
                <w:rFonts w:asciiTheme="majorHAnsi" w:hAnsiTheme="majorHAnsi" w:cstheme="majorHAnsi"/>
                <w:b/>
                <w:bCs/>
                <w:lang w:val="en-US"/>
              </w:rPr>
              <w:t>).</w:t>
            </w:r>
          </w:p>
          <w:p w14:paraId="028C56F6" w14:textId="77777777" w:rsidR="00BB66F7" w:rsidRPr="008C014F" w:rsidRDefault="00BB66F7" w:rsidP="00BB66F7">
            <w:pPr>
              <w:jc w:val="both"/>
              <w:rPr>
                <w:rFonts w:asciiTheme="majorHAnsi" w:hAnsiTheme="majorHAnsi" w:cstheme="majorHAnsi"/>
                <w:lang w:val="en-US"/>
              </w:rPr>
            </w:pPr>
          </w:p>
          <w:p w14:paraId="5CF0C7CC" w14:textId="77777777" w:rsidR="00BB66F7" w:rsidRPr="008C014F" w:rsidRDefault="00BB66F7" w:rsidP="00BB66F7">
            <w:pPr>
              <w:jc w:val="both"/>
              <w:rPr>
                <w:rFonts w:asciiTheme="majorHAnsi" w:hAnsiTheme="majorHAnsi" w:cstheme="majorHAnsi"/>
                <w:lang w:val="en-US"/>
              </w:rPr>
            </w:pPr>
            <w:proofErr w:type="gramStart"/>
            <w:r w:rsidRPr="008C014F">
              <w:rPr>
                <w:rFonts w:asciiTheme="majorHAnsi" w:hAnsiTheme="majorHAnsi" w:cstheme="majorHAnsi"/>
                <w:lang w:val="en-US"/>
              </w:rPr>
              <w:t>Secondly,  the</w:t>
            </w:r>
            <w:proofErr w:type="gramEnd"/>
            <w:r w:rsidRPr="008C014F">
              <w:rPr>
                <w:rFonts w:asciiTheme="majorHAnsi" w:hAnsiTheme="majorHAnsi" w:cstheme="majorHAnsi"/>
                <w:lang w:val="en-US"/>
              </w:rPr>
              <w:t xml:space="preserve"> CEAS instruments, in contrast to EU primary law (TFEU and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do not explicitly refer to any distinct “asylum” status. </w:t>
            </w:r>
            <w:proofErr w:type="gramStart"/>
            <w:r w:rsidRPr="008C014F">
              <w:rPr>
                <w:rFonts w:asciiTheme="majorHAnsi" w:hAnsiTheme="majorHAnsi" w:cstheme="majorHAnsi"/>
                <w:lang w:val="en-US"/>
              </w:rPr>
              <w:t>However,  EU</w:t>
            </w:r>
            <w:proofErr w:type="gramEnd"/>
            <w:r w:rsidRPr="008C014F">
              <w:rPr>
                <w:rFonts w:asciiTheme="majorHAnsi" w:hAnsiTheme="majorHAnsi" w:cstheme="majorHAnsi"/>
                <w:lang w:val="en-US"/>
              </w:rPr>
              <w:t xml:space="preserve"> Asylum legislation (the so-called Qualification Directive) of CEAS fully incorporates the refugee status and the definition of refugee under the Geneva Convention into the EU Law, while adding two additional protection statuses to this setting:</w:t>
            </w:r>
          </w:p>
          <w:p w14:paraId="1C2DD24D" w14:textId="77777777" w:rsidR="00BB66F7" w:rsidRPr="008C014F" w:rsidRDefault="00BB66F7" w:rsidP="00BB66F7">
            <w:pPr>
              <w:jc w:val="both"/>
              <w:rPr>
                <w:rFonts w:asciiTheme="majorHAnsi" w:hAnsiTheme="majorHAnsi" w:cstheme="majorHAnsi"/>
                <w:lang w:val="en-US"/>
              </w:rPr>
            </w:pPr>
          </w:p>
          <w:p w14:paraId="24E9A1C0"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(1) </w:t>
            </w:r>
            <w:r w:rsidRPr="008C014F">
              <w:rPr>
                <w:rFonts w:asciiTheme="majorHAnsi" w:hAnsiTheme="majorHAnsi" w:cstheme="majorHAnsi"/>
                <w:b/>
                <w:bCs/>
                <w:lang w:val="en-US"/>
              </w:rPr>
              <w:t>the status of subsidiary protection</w:t>
            </w:r>
            <w:r w:rsidRPr="008C014F">
              <w:rPr>
                <w:rFonts w:asciiTheme="majorHAnsi" w:hAnsiTheme="majorHAnsi" w:cstheme="majorHAnsi"/>
                <w:lang w:val="en-US"/>
              </w:rPr>
              <w:t xml:space="preserve">, which reflects EU Member States’ human rights obligation and responds to legitimate protection needs of individuals who do not meet the Geneva Convention criteria </w:t>
            </w:r>
            <w:proofErr w:type="gramStart"/>
            <w:r w:rsidRPr="008C014F">
              <w:rPr>
                <w:rFonts w:asciiTheme="majorHAnsi" w:hAnsiTheme="majorHAnsi" w:cstheme="majorHAnsi"/>
                <w:lang w:val="en-US"/>
              </w:rPr>
              <w:t>for  refugee</w:t>
            </w:r>
            <w:proofErr w:type="gramEnd"/>
            <w:r w:rsidRPr="008C014F">
              <w:rPr>
                <w:rFonts w:asciiTheme="majorHAnsi" w:hAnsiTheme="majorHAnsi" w:cstheme="majorHAnsi"/>
                <w:lang w:val="en-US"/>
              </w:rPr>
              <w:t xml:space="preserve"> status. With the adoption of subsidiary protection status, EU law has effectively broadened the protection regime beyond standards set by the Geneva Convention. In other words, EU law has significantly extended protection to </w:t>
            </w:r>
            <w:proofErr w:type="gramStart"/>
            <w:r w:rsidRPr="008C014F">
              <w:rPr>
                <w:rFonts w:asciiTheme="majorHAnsi" w:hAnsiTheme="majorHAnsi" w:cstheme="majorHAnsi"/>
                <w:lang w:val="en-US"/>
              </w:rPr>
              <w:t>persons</w:t>
            </w:r>
            <w:proofErr w:type="gramEnd"/>
            <w:r w:rsidRPr="008C014F">
              <w:rPr>
                <w:rFonts w:asciiTheme="majorHAnsi" w:hAnsiTheme="majorHAnsi" w:cstheme="majorHAnsi"/>
                <w:lang w:val="en-US"/>
              </w:rPr>
              <w:t xml:space="preserve"> who are left out unprotected by the Geneva Convention. Refugee and subsidiary protection status are referred together within EU Asylum legislation as “international protection”. </w:t>
            </w:r>
          </w:p>
          <w:p w14:paraId="31EF0B0F"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(2) </w:t>
            </w:r>
            <w:r w:rsidRPr="008C014F">
              <w:rPr>
                <w:rFonts w:asciiTheme="majorHAnsi" w:hAnsiTheme="majorHAnsi" w:cstheme="majorHAnsi"/>
                <w:b/>
                <w:bCs/>
                <w:lang w:val="en-US"/>
              </w:rPr>
              <w:t>the status of temporary protection</w:t>
            </w:r>
            <w:r w:rsidRPr="008C014F">
              <w:rPr>
                <w:rFonts w:asciiTheme="majorHAnsi" w:hAnsiTheme="majorHAnsi" w:cstheme="majorHAnsi"/>
                <w:lang w:val="en-US"/>
              </w:rPr>
              <w:t xml:space="preserve">: established by the so-called Temporary Protection Directive, this status </w:t>
            </w:r>
            <w:proofErr w:type="gramStart"/>
            <w:r w:rsidRPr="008C014F">
              <w:rPr>
                <w:rFonts w:asciiTheme="majorHAnsi" w:hAnsiTheme="majorHAnsi" w:cstheme="majorHAnsi"/>
                <w:lang w:val="en-US"/>
              </w:rPr>
              <w:t>serves  as</w:t>
            </w:r>
            <w:proofErr w:type="gramEnd"/>
            <w:r w:rsidRPr="008C014F">
              <w:rPr>
                <w:rFonts w:asciiTheme="majorHAnsi" w:hAnsiTheme="majorHAnsi" w:cstheme="majorHAnsi"/>
                <w:lang w:val="en-US"/>
              </w:rPr>
              <w:t xml:space="preserve"> a “group” protection instrument. It was first activated in 2022 as a response to the Russian aggression in Ukraine.</w:t>
            </w:r>
          </w:p>
          <w:p w14:paraId="3A87FCCA"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    </w:t>
            </w:r>
          </w:p>
          <w:p w14:paraId="0DF9B005"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Article 18 is also noteworthy in </w:t>
            </w:r>
            <w:proofErr w:type="gramStart"/>
            <w:r w:rsidRPr="008C014F">
              <w:rPr>
                <w:rFonts w:asciiTheme="majorHAnsi" w:hAnsiTheme="majorHAnsi" w:cstheme="majorHAnsi"/>
                <w:lang w:val="en-US"/>
              </w:rPr>
              <w:t>its  wording</w:t>
            </w:r>
            <w:proofErr w:type="gramEnd"/>
            <w:r w:rsidRPr="008C014F">
              <w:rPr>
                <w:rFonts w:asciiTheme="majorHAnsi" w:hAnsiTheme="majorHAnsi" w:cstheme="majorHAnsi"/>
                <w:lang w:val="en-US"/>
              </w:rPr>
              <w:t xml:space="preserve">. No other human rights document, apart from the Universal Declaration of Human Rights, has ever articulated an individual's right to asylum. But even in the case of the Universal Declaration of Human Rights, the individual is only guaranteed the possibility to seek and enjoy asylum. The exceptionalism of Article 18 is also apparent when looking at other regional human rights instruments, </w:t>
            </w:r>
            <w:proofErr w:type="gramStart"/>
            <w:r w:rsidRPr="008C014F">
              <w:rPr>
                <w:rFonts w:asciiTheme="majorHAnsi" w:hAnsiTheme="majorHAnsi" w:cstheme="majorHAnsi"/>
                <w:lang w:val="en-US"/>
              </w:rPr>
              <w:t>as  even</w:t>
            </w:r>
            <w:proofErr w:type="gramEnd"/>
            <w:r w:rsidRPr="008C014F">
              <w:rPr>
                <w:rFonts w:asciiTheme="majorHAnsi" w:hAnsiTheme="majorHAnsi" w:cstheme="majorHAnsi"/>
                <w:lang w:val="en-US"/>
              </w:rPr>
              <w:t xml:space="preserve"> the regionally significant European Convention on Human Rights (ECHR) contains no provision  explicitly addressing asylum or refugee status.</w:t>
            </w:r>
          </w:p>
          <w:p w14:paraId="3EE2731A" w14:textId="77777777" w:rsidR="00BB66F7" w:rsidRPr="008C014F" w:rsidRDefault="00BB66F7" w:rsidP="00BB66F7">
            <w:pPr>
              <w:jc w:val="both"/>
              <w:rPr>
                <w:rFonts w:asciiTheme="majorHAnsi" w:hAnsiTheme="majorHAnsi" w:cstheme="majorHAnsi"/>
                <w:lang w:val="en-US"/>
              </w:rPr>
            </w:pPr>
          </w:p>
          <w:p w14:paraId="10668AA2" w14:textId="77777777" w:rsidR="00BB66F7" w:rsidRPr="008C014F" w:rsidRDefault="00BB66F7" w:rsidP="00BB66F7">
            <w:pPr>
              <w:jc w:val="both"/>
              <w:rPr>
                <w:rFonts w:asciiTheme="majorHAnsi" w:hAnsiTheme="majorHAnsi" w:cstheme="majorHAnsi"/>
                <w:b/>
                <w:bCs/>
                <w:lang w:val="en-US"/>
              </w:rPr>
            </w:pPr>
            <w:r w:rsidRPr="008C014F">
              <w:rPr>
                <w:rFonts w:asciiTheme="majorHAnsi" w:hAnsiTheme="majorHAnsi" w:cstheme="majorHAnsi"/>
                <w:b/>
                <w:bCs/>
                <w:lang w:val="en-US"/>
              </w:rPr>
              <w:t>Setting Out Procedural Norms: Filling the Gaps of International Law</w:t>
            </w:r>
          </w:p>
          <w:p w14:paraId="48E128B1"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While the Geneva Convention remains the cornerstone of international refugee protection, on which EU asylum legislation is based, it </w:t>
            </w:r>
            <w:proofErr w:type="gramStart"/>
            <w:r w:rsidRPr="008C014F">
              <w:rPr>
                <w:rFonts w:asciiTheme="majorHAnsi" w:hAnsiTheme="majorHAnsi" w:cstheme="majorHAnsi"/>
                <w:lang w:val="en-US"/>
              </w:rPr>
              <w:t>lacks  procedural</w:t>
            </w:r>
            <w:proofErr w:type="gramEnd"/>
            <w:r w:rsidRPr="008C014F">
              <w:rPr>
                <w:rFonts w:asciiTheme="majorHAnsi" w:hAnsiTheme="majorHAnsi" w:cstheme="majorHAnsi"/>
                <w:lang w:val="en-US"/>
              </w:rPr>
              <w:t xml:space="preserve"> standards for assessing individual applications for protection. This opens a wide gap of refugee protection in international law.</w:t>
            </w:r>
          </w:p>
          <w:p w14:paraId="00E2DEDA" w14:textId="77777777" w:rsidR="00BB66F7" w:rsidRPr="008C014F" w:rsidRDefault="00BB66F7" w:rsidP="00BB66F7">
            <w:pPr>
              <w:jc w:val="both"/>
              <w:rPr>
                <w:rFonts w:asciiTheme="majorHAnsi" w:hAnsiTheme="majorHAnsi" w:cstheme="majorHAnsi"/>
                <w:lang w:val="en-US"/>
              </w:rPr>
            </w:pPr>
          </w:p>
          <w:p w14:paraId="1A8C0ECA"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Consequently, the harmonization of common procedural standards represents a significant contribution </w:t>
            </w:r>
            <w:proofErr w:type="gramStart"/>
            <w:r w:rsidRPr="008C014F">
              <w:rPr>
                <w:rFonts w:asciiTheme="majorHAnsi" w:hAnsiTheme="majorHAnsi" w:cstheme="majorHAnsi"/>
                <w:lang w:val="en-US"/>
              </w:rPr>
              <w:t>of</w:t>
            </w:r>
            <w:proofErr w:type="gramEnd"/>
            <w:r w:rsidRPr="008C014F">
              <w:rPr>
                <w:rFonts w:asciiTheme="majorHAnsi" w:hAnsiTheme="majorHAnsi" w:cstheme="majorHAnsi"/>
                <w:lang w:val="en-US"/>
              </w:rPr>
              <w:t xml:space="preserve"> EU asylum legislation. The EU law and the instruments of CEAS provide a uniform procedure for granting international protection to applicants, alongside a uniform set of rights for applicants across all Member States, thereby filling a large gap emanating from international law.</w:t>
            </w:r>
          </w:p>
          <w:p w14:paraId="0A201AB4" w14:textId="77777777" w:rsidR="00BB66F7" w:rsidRPr="008C014F" w:rsidRDefault="00BB66F7" w:rsidP="00BB66F7">
            <w:pPr>
              <w:jc w:val="both"/>
              <w:rPr>
                <w:rFonts w:asciiTheme="majorHAnsi" w:hAnsiTheme="majorHAnsi" w:cstheme="majorHAnsi"/>
                <w:lang w:val="en-US"/>
              </w:rPr>
            </w:pPr>
          </w:p>
          <w:p w14:paraId="0CAD16AA"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Given the absence of internal borders within the Schengen area, the Common European Asylum System includes rules on the obligatory designation of the Member State responsible for examining each application for international protection. This arrangement prevents the phenomenon of "asylum shopping" </w:t>
            </w:r>
            <w:proofErr w:type="gramStart"/>
            <w:r w:rsidRPr="008C014F">
              <w:rPr>
                <w:rFonts w:asciiTheme="majorHAnsi" w:hAnsiTheme="majorHAnsi" w:cstheme="majorHAnsi"/>
                <w:lang w:val="en-US"/>
              </w:rPr>
              <w:t>whereby  applicants</w:t>
            </w:r>
            <w:proofErr w:type="gramEnd"/>
            <w:r w:rsidRPr="008C014F">
              <w:rPr>
                <w:rFonts w:asciiTheme="majorHAnsi" w:hAnsiTheme="majorHAnsi" w:cstheme="majorHAnsi"/>
                <w:lang w:val="en-US"/>
              </w:rPr>
              <w:t xml:space="preserve"> for international protection might otherwise  choose the Member State to examine their application. Instead, the so-called Dublin Regulation pre-determines the responsible </w:t>
            </w:r>
            <w:r w:rsidRPr="008C014F">
              <w:rPr>
                <w:rFonts w:asciiTheme="majorHAnsi" w:hAnsiTheme="majorHAnsi" w:cstheme="majorHAnsi"/>
                <w:lang w:val="en-US"/>
              </w:rPr>
              <w:lastRenderedPageBreak/>
              <w:t>Member State. This setting also addresses the reverse issue of "refugees in orbit,</w:t>
            </w:r>
            <w:proofErr w:type="gramStart"/>
            <w:r w:rsidRPr="008C014F">
              <w:rPr>
                <w:rFonts w:asciiTheme="majorHAnsi" w:hAnsiTheme="majorHAnsi" w:cstheme="majorHAnsi"/>
                <w:lang w:val="en-US"/>
              </w:rPr>
              <w:t>"  a</w:t>
            </w:r>
            <w:proofErr w:type="gramEnd"/>
            <w:r w:rsidRPr="008C014F">
              <w:rPr>
                <w:rFonts w:asciiTheme="majorHAnsi" w:hAnsiTheme="majorHAnsi" w:cstheme="majorHAnsi"/>
                <w:lang w:val="en-US"/>
              </w:rPr>
              <w:t xml:space="preserve"> situation in which no state assumes responsibility for an asylum claim. </w:t>
            </w:r>
          </w:p>
          <w:p w14:paraId="674B3A7B" w14:textId="77777777" w:rsidR="00BB66F7" w:rsidRPr="008C014F" w:rsidRDefault="00BB66F7" w:rsidP="00BB66F7">
            <w:pPr>
              <w:jc w:val="both"/>
              <w:rPr>
                <w:rFonts w:asciiTheme="majorHAnsi" w:hAnsiTheme="majorHAnsi" w:cstheme="majorHAnsi"/>
                <w:b/>
                <w:bCs/>
                <w:lang w:val="en-US"/>
              </w:rPr>
            </w:pPr>
          </w:p>
          <w:p w14:paraId="4C0F6427" w14:textId="77777777" w:rsidR="00BB66F7" w:rsidRPr="008C014F" w:rsidRDefault="00BB66F7" w:rsidP="00BB66F7">
            <w:pPr>
              <w:jc w:val="both"/>
              <w:rPr>
                <w:rFonts w:asciiTheme="majorHAnsi" w:hAnsiTheme="majorHAnsi" w:cstheme="majorHAnsi"/>
                <w:b/>
                <w:bCs/>
                <w:lang w:val="en-US"/>
              </w:rPr>
            </w:pPr>
            <w:r w:rsidRPr="008C014F">
              <w:rPr>
                <w:rFonts w:asciiTheme="majorHAnsi" w:hAnsiTheme="majorHAnsi" w:cstheme="majorHAnsi"/>
                <w:b/>
                <w:bCs/>
                <w:lang w:val="en-US"/>
              </w:rPr>
              <w:t>Non-refoulement as a Core Obligation of Asylum Law</w:t>
            </w:r>
          </w:p>
          <w:p w14:paraId="0581F7B3"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Finally, the core principle of non-refoulement cannot be separated from the right to asylum. </w:t>
            </w:r>
            <w:proofErr w:type="gramStart"/>
            <w:r w:rsidRPr="008C014F">
              <w:rPr>
                <w:rFonts w:asciiTheme="majorHAnsi" w:hAnsiTheme="majorHAnsi" w:cstheme="majorHAnsi"/>
                <w:lang w:val="en-US"/>
              </w:rPr>
              <w:t>Although  non</w:t>
            </w:r>
            <w:proofErr w:type="gramEnd"/>
            <w:r w:rsidRPr="008C014F">
              <w:rPr>
                <w:rFonts w:asciiTheme="majorHAnsi" w:hAnsiTheme="majorHAnsi" w:cstheme="majorHAnsi"/>
                <w:lang w:val="en-US"/>
              </w:rPr>
              <w:t xml:space="preserve">-refoulement is not explicitly  mentioned within Article 18, it is included implicitly within Article 19 of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Yet, the principle of non-refoulement represents more than just an obligation of Member States. It forms the core element of the right to asylum </w:t>
            </w:r>
            <w:proofErr w:type="gramStart"/>
            <w:r w:rsidRPr="008C014F">
              <w:rPr>
                <w:rFonts w:asciiTheme="majorHAnsi" w:hAnsiTheme="majorHAnsi" w:cstheme="majorHAnsi"/>
                <w:lang w:val="en-US"/>
              </w:rPr>
              <w:t>and  must</w:t>
            </w:r>
            <w:proofErr w:type="gramEnd"/>
            <w:r w:rsidRPr="008C014F">
              <w:rPr>
                <w:rFonts w:asciiTheme="majorHAnsi" w:hAnsiTheme="majorHAnsi" w:cstheme="majorHAnsi"/>
                <w:lang w:val="en-US"/>
              </w:rPr>
              <w:t xml:space="preserve"> be respected in all circumstances, while also showing some overlap to art.4 of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w:t>
            </w:r>
          </w:p>
          <w:p w14:paraId="66084519"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Moreover, given the interdependence of asylum law with human rights law, the principle of non-refoulement has become an unconditional rule that cannot be restricted in any way. This principle is </w:t>
            </w:r>
            <w:proofErr w:type="gramStart"/>
            <w:r w:rsidRPr="008C014F">
              <w:rPr>
                <w:rFonts w:asciiTheme="majorHAnsi" w:hAnsiTheme="majorHAnsi" w:cstheme="majorHAnsi"/>
                <w:lang w:val="en-US"/>
              </w:rPr>
              <w:t>also  observed</w:t>
            </w:r>
            <w:proofErr w:type="gramEnd"/>
            <w:r w:rsidRPr="008C014F">
              <w:rPr>
                <w:rFonts w:asciiTheme="majorHAnsi" w:hAnsiTheme="majorHAnsi" w:cstheme="majorHAnsi"/>
                <w:lang w:val="en-US"/>
              </w:rPr>
              <w:t xml:space="preserve"> by the various CEAS instruments establishing return measures (the so-called Return Directive).</w:t>
            </w:r>
          </w:p>
          <w:p w14:paraId="2D6E0F25" w14:textId="0ECFC134" w:rsidR="00BB66F7" w:rsidRPr="00BB66F7" w:rsidRDefault="00BB66F7" w:rsidP="00BB66F7">
            <w:pPr>
              <w:jc w:val="both"/>
              <w:rPr>
                <w:rFonts w:ascii="Calibri" w:hAnsi="Calibri" w:cs="Calibri"/>
                <w:lang w:val="en-US"/>
              </w:rPr>
            </w:pPr>
          </w:p>
        </w:tc>
      </w:tr>
      <w:tr w:rsidR="00BB66F7" w:rsidRPr="008E2D64" w14:paraId="1FD718D0" w14:textId="77777777" w:rsidTr="00CA5340">
        <w:tc>
          <w:tcPr>
            <w:tcW w:w="8494" w:type="dxa"/>
          </w:tcPr>
          <w:p w14:paraId="4BB5FDD1" w14:textId="49FEFAE4" w:rsidR="00BB66F7" w:rsidRPr="009F095C" w:rsidRDefault="00BB66F7" w:rsidP="00BB66F7">
            <w:pPr>
              <w:rPr>
                <w:rFonts w:ascii="Calibri" w:hAnsi="Calibri" w:cs="Calibri"/>
                <w:sz w:val="28"/>
                <w:szCs w:val="28"/>
                <w:lang w:val="en-US"/>
              </w:rPr>
            </w:pPr>
            <w:r w:rsidRPr="009F095C">
              <w:rPr>
                <w:b/>
                <w:bCs/>
                <w:color w:val="0070C0"/>
                <w:sz w:val="28"/>
                <w:szCs w:val="28"/>
                <w:lang w:val="en-US"/>
              </w:rPr>
              <w:lastRenderedPageBreak/>
              <w:t>CJEU Case Law</w:t>
            </w:r>
          </w:p>
        </w:tc>
      </w:tr>
      <w:tr w:rsidR="00BB66F7" w:rsidRPr="008E2D64" w14:paraId="35FB37BC" w14:textId="77777777" w:rsidTr="00CA5340">
        <w:tc>
          <w:tcPr>
            <w:tcW w:w="8494" w:type="dxa"/>
          </w:tcPr>
          <w:p w14:paraId="2438FC0B" w14:textId="77777777" w:rsidR="00BB66F7" w:rsidRDefault="00BB66F7" w:rsidP="00BB66F7">
            <w:pPr>
              <w:pStyle w:val="NormalWeb"/>
              <w:spacing w:before="0" w:beforeAutospacing="0" w:after="0" w:afterAutospacing="0"/>
              <w:jc w:val="both"/>
              <w:rPr>
                <w:rFonts w:asciiTheme="minorHAnsi" w:hAnsiTheme="minorHAnsi" w:cstheme="minorHAnsi"/>
                <w:b/>
              </w:rPr>
            </w:pPr>
          </w:p>
          <w:p w14:paraId="1487C4A4" w14:textId="77777777" w:rsidR="00BB66F7" w:rsidRPr="008C014F" w:rsidRDefault="00BB66F7" w:rsidP="00BB66F7">
            <w:pPr>
              <w:jc w:val="both"/>
              <w:rPr>
                <w:rFonts w:asciiTheme="majorHAnsi" w:hAnsiTheme="majorHAnsi" w:cstheme="majorHAnsi"/>
                <w:b/>
                <w:bCs/>
              </w:rPr>
            </w:pPr>
            <w:r w:rsidRPr="008C014F">
              <w:rPr>
                <w:rFonts w:asciiTheme="majorHAnsi" w:hAnsiTheme="majorHAnsi" w:cstheme="majorHAnsi"/>
                <w:b/>
                <w:bCs/>
              </w:rPr>
              <w:t xml:space="preserve">CJEU </w:t>
            </w:r>
            <w:proofErr w:type="spellStart"/>
            <w:r w:rsidRPr="008C014F">
              <w:rPr>
                <w:rFonts w:asciiTheme="majorHAnsi" w:hAnsiTheme="majorHAnsi" w:cstheme="majorHAnsi"/>
                <w:b/>
                <w:bCs/>
              </w:rPr>
              <w:t>Judgment</w:t>
            </w:r>
            <w:proofErr w:type="spellEnd"/>
            <w:r w:rsidRPr="008C014F">
              <w:rPr>
                <w:rFonts w:asciiTheme="majorHAnsi" w:hAnsiTheme="majorHAnsi" w:cstheme="majorHAnsi"/>
                <w:b/>
                <w:bCs/>
              </w:rPr>
              <w:t xml:space="preserve"> in Case C-556/17 </w:t>
            </w:r>
            <w:r w:rsidRPr="008C014F">
              <w:rPr>
                <w:rFonts w:asciiTheme="majorHAnsi" w:hAnsiTheme="majorHAnsi" w:cstheme="majorHAnsi"/>
              </w:rPr>
              <w:t>(</w:t>
            </w:r>
            <w:proofErr w:type="spellStart"/>
            <w:r w:rsidRPr="008C014F">
              <w:rPr>
                <w:rFonts w:asciiTheme="majorHAnsi" w:hAnsiTheme="majorHAnsi" w:cstheme="majorHAnsi"/>
                <w:i/>
                <w:iCs/>
              </w:rPr>
              <w:t>Alekszij</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Torubarov</w:t>
            </w:r>
            <w:proofErr w:type="spellEnd"/>
            <w:r w:rsidRPr="008C014F">
              <w:rPr>
                <w:rFonts w:asciiTheme="majorHAnsi" w:hAnsiTheme="majorHAnsi" w:cstheme="majorHAnsi"/>
              </w:rPr>
              <w:t xml:space="preserve">, June 29, 2019), </w:t>
            </w:r>
            <w:proofErr w:type="spellStart"/>
            <w:r w:rsidRPr="008C014F">
              <w:rPr>
                <w:rFonts w:asciiTheme="majorHAnsi" w:hAnsiTheme="majorHAnsi" w:cstheme="majorHAnsi"/>
                <w:b/>
                <w:bCs/>
              </w:rPr>
              <w:t>request</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for</w:t>
            </w:r>
            <w:proofErr w:type="spellEnd"/>
            <w:r w:rsidRPr="008C014F">
              <w:rPr>
                <w:rFonts w:asciiTheme="majorHAnsi" w:hAnsiTheme="majorHAnsi" w:cstheme="majorHAnsi"/>
                <w:b/>
                <w:bCs/>
              </w:rPr>
              <w:t xml:space="preserve"> a </w:t>
            </w:r>
            <w:proofErr w:type="spellStart"/>
            <w:r w:rsidRPr="008C014F">
              <w:rPr>
                <w:rFonts w:asciiTheme="majorHAnsi" w:hAnsiTheme="majorHAnsi" w:cstheme="majorHAnsi"/>
                <w:b/>
                <w:bCs/>
              </w:rPr>
              <w:t>preliminary</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ruling</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by</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Pécsi</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Közigazgatási</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és</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Munkaügyi</w:t>
            </w:r>
            <w:proofErr w:type="spellEnd"/>
            <w:r w:rsidRPr="008C014F">
              <w:rPr>
                <w:rFonts w:asciiTheme="majorHAnsi" w:hAnsiTheme="majorHAnsi" w:cstheme="majorHAnsi"/>
                <w:b/>
                <w:bCs/>
              </w:rPr>
              <w:t xml:space="preserve"> </w:t>
            </w:r>
            <w:proofErr w:type="spellStart"/>
            <w:r w:rsidRPr="008C014F">
              <w:rPr>
                <w:rFonts w:asciiTheme="majorHAnsi" w:hAnsiTheme="majorHAnsi" w:cstheme="majorHAnsi"/>
                <w:b/>
                <w:bCs/>
              </w:rPr>
              <w:t>Bíróság</w:t>
            </w:r>
            <w:proofErr w:type="spellEnd"/>
            <w:r w:rsidRPr="008C014F">
              <w:rPr>
                <w:rFonts w:asciiTheme="majorHAnsi" w:hAnsiTheme="majorHAnsi" w:cstheme="majorHAnsi"/>
                <w:b/>
                <w:bCs/>
              </w:rPr>
              <w:t>.</w:t>
            </w:r>
          </w:p>
          <w:p w14:paraId="378F7DAD" w14:textId="77777777" w:rsidR="00BB66F7" w:rsidRPr="008C014F" w:rsidRDefault="00BB66F7" w:rsidP="00BB66F7">
            <w:pPr>
              <w:jc w:val="both"/>
              <w:rPr>
                <w:rFonts w:asciiTheme="majorHAnsi" w:hAnsiTheme="majorHAnsi" w:cstheme="majorHAnsi"/>
                <w:i/>
                <w:iCs/>
              </w:rPr>
            </w:pPr>
            <w:r w:rsidRPr="008C014F">
              <w:rPr>
                <w:rFonts w:asciiTheme="majorHAnsi" w:hAnsiTheme="majorHAnsi" w:cstheme="majorHAnsi"/>
                <w:i/>
                <w:iCs/>
              </w:rPr>
              <w:t xml:space="preserve">Key </w:t>
            </w:r>
            <w:proofErr w:type="spellStart"/>
            <w:r w:rsidRPr="008C014F">
              <w:rPr>
                <w:rFonts w:asciiTheme="majorHAnsi" w:hAnsiTheme="majorHAnsi" w:cstheme="majorHAnsi"/>
                <w:i/>
                <w:iCs/>
              </w:rPr>
              <w:t>words</w:t>
            </w:r>
            <w:proofErr w:type="spellEnd"/>
            <w:r w:rsidRPr="008C014F">
              <w:rPr>
                <w:rFonts w:asciiTheme="majorHAnsi" w:hAnsiTheme="majorHAnsi" w:cstheme="majorHAnsi"/>
                <w:i/>
                <w:iCs/>
              </w:rPr>
              <w:t xml:space="preserve">: full and ex nunc </w:t>
            </w:r>
            <w:proofErr w:type="spellStart"/>
            <w:r w:rsidRPr="008C014F">
              <w:rPr>
                <w:rFonts w:asciiTheme="majorHAnsi" w:hAnsiTheme="majorHAnsi" w:cstheme="majorHAnsi"/>
                <w:i/>
                <w:iCs/>
              </w:rPr>
              <w:t>examination</w:t>
            </w:r>
            <w:proofErr w:type="spellEnd"/>
            <w:r w:rsidRPr="008C014F">
              <w:rPr>
                <w:rFonts w:asciiTheme="majorHAnsi" w:hAnsiTheme="majorHAnsi" w:cstheme="majorHAnsi"/>
                <w:i/>
                <w:iCs/>
              </w:rPr>
              <w:t xml:space="preserve"> - </w:t>
            </w:r>
            <w:proofErr w:type="spellStart"/>
            <w:r w:rsidRPr="008C014F">
              <w:rPr>
                <w:rFonts w:asciiTheme="majorHAnsi" w:hAnsiTheme="majorHAnsi" w:cstheme="majorHAnsi"/>
                <w:i/>
                <w:iCs/>
              </w:rPr>
              <w:t>right</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to</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an</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effective</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remedy</w:t>
            </w:r>
            <w:proofErr w:type="spellEnd"/>
            <w:r w:rsidRPr="008C014F">
              <w:rPr>
                <w:rFonts w:asciiTheme="majorHAnsi" w:hAnsiTheme="majorHAnsi" w:cstheme="majorHAnsi"/>
                <w:i/>
                <w:iCs/>
              </w:rPr>
              <w:t xml:space="preserve"> in cases </w:t>
            </w:r>
            <w:proofErr w:type="spellStart"/>
            <w:r w:rsidRPr="008C014F">
              <w:rPr>
                <w:rFonts w:asciiTheme="majorHAnsi" w:hAnsiTheme="majorHAnsi" w:cstheme="majorHAnsi"/>
                <w:i/>
                <w:iCs/>
              </w:rPr>
              <w:t>of</w:t>
            </w:r>
            <w:proofErr w:type="spellEnd"/>
            <w:r w:rsidRPr="008C014F">
              <w:rPr>
                <w:rFonts w:asciiTheme="majorHAnsi" w:hAnsiTheme="majorHAnsi" w:cstheme="majorHAnsi"/>
                <w:i/>
                <w:iCs/>
              </w:rPr>
              <w:t xml:space="preserve"> </w:t>
            </w:r>
            <w:proofErr w:type="spellStart"/>
            <w:r w:rsidRPr="008C014F">
              <w:rPr>
                <w:rFonts w:asciiTheme="majorHAnsi" w:hAnsiTheme="majorHAnsi" w:cstheme="majorHAnsi"/>
                <w:i/>
                <w:iCs/>
              </w:rPr>
              <w:t>an</w:t>
            </w:r>
            <w:proofErr w:type="spellEnd"/>
            <w:r w:rsidRPr="008C014F">
              <w:rPr>
                <w:rFonts w:asciiTheme="majorHAnsi" w:hAnsiTheme="majorHAnsi" w:cstheme="majorHAnsi"/>
                <w:i/>
                <w:iCs/>
              </w:rPr>
              <w:t xml:space="preserve"> administrative „ping-</w:t>
            </w:r>
            <w:proofErr w:type="gramStart"/>
            <w:r w:rsidRPr="008C014F">
              <w:rPr>
                <w:rFonts w:asciiTheme="majorHAnsi" w:hAnsiTheme="majorHAnsi" w:cstheme="majorHAnsi"/>
                <w:i/>
                <w:iCs/>
              </w:rPr>
              <w:t>pong“</w:t>
            </w:r>
            <w:proofErr w:type="gramEnd"/>
          </w:p>
          <w:p w14:paraId="16D5353C" w14:textId="77777777" w:rsidR="00BB66F7" w:rsidRPr="008C014F" w:rsidRDefault="00BB66F7" w:rsidP="00BB66F7">
            <w:pPr>
              <w:jc w:val="both"/>
              <w:rPr>
                <w:rFonts w:asciiTheme="majorHAnsi" w:hAnsiTheme="majorHAnsi" w:cstheme="majorHAnsi"/>
                <w:i/>
                <w:iCs/>
                <w:color w:val="000000" w:themeColor="text1"/>
                <w:lang w:val="en-US"/>
              </w:rPr>
            </w:pPr>
          </w:p>
          <w:p w14:paraId="0C67FB0B"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C-473/16 (</w:t>
            </w:r>
            <w:r w:rsidRPr="008C014F">
              <w:rPr>
                <w:rFonts w:asciiTheme="majorHAnsi" w:eastAsia="Times New Roman" w:hAnsiTheme="majorHAnsi" w:cstheme="majorHAnsi"/>
                <w:i/>
                <w:iCs/>
                <w:color w:val="000000"/>
                <w:lang w:eastAsia="cs-CZ"/>
              </w:rPr>
              <w:t xml:space="preserve">F. v </w:t>
            </w:r>
            <w:proofErr w:type="spellStart"/>
            <w:r w:rsidRPr="008C014F">
              <w:rPr>
                <w:rFonts w:asciiTheme="majorHAnsi" w:eastAsia="Times New Roman" w:hAnsiTheme="majorHAnsi" w:cstheme="majorHAnsi"/>
                <w:i/>
                <w:iCs/>
                <w:color w:val="000000"/>
                <w:lang w:eastAsia="cs-CZ"/>
              </w:rPr>
              <w:t>Bevándorlási</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és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Állampolgársági</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Hivatal</w:t>
            </w:r>
            <w:proofErr w:type="spellEnd"/>
            <w:r w:rsidRPr="008C014F">
              <w:rPr>
                <w:rFonts w:asciiTheme="majorHAnsi" w:eastAsia="Times New Roman" w:hAnsiTheme="majorHAnsi" w:cstheme="majorHAnsi"/>
                <w:color w:val="000000"/>
                <w:lang w:eastAsia="cs-CZ"/>
              </w:rPr>
              <w:t xml:space="preserve">, June 28, 2018), </w:t>
            </w:r>
            <w:proofErr w:type="spellStart"/>
            <w:r w:rsidRPr="008C014F">
              <w:rPr>
                <w:rFonts w:asciiTheme="majorHAnsi" w:eastAsia="Times New Roman" w:hAnsiTheme="majorHAnsi" w:cstheme="majorHAnsi"/>
                <w:b/>
                <w:bCs/>
                <w:color w:val="000000"/>
                <w:lang w:eastAsia="cs-CZ"/>
              </w:rPr>
              <w:t>request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by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Szegedi</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Közigazgatási</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és</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Munkaügyi</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Bíróság</w:t>
            </w:r>
            <w:proofErr w:type="spellEnd"/>
            <w:r w:rsidRPr="008C014F">
              <w:rPr>
                <w:rFonts w:asciiTheme="majorHAnsi" w:eastAsia="Times New Roman" w:hAnsiTheme="majorHAnsi" w:cstheme="majorHAnsi"/>
                <w:b/>
                <w:bCs/>
                <w:color w:val="000000"/>
                <w:lang w:eastAsia="cs-CZ"/>
              </w:rPr>
              <w:t>.</w:t>
            </w:r>
          </w:p>
          <w:p w14:paraId="0C1689F9"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particular social </w:t>
            </w:r>
            <w:proofErr w:type="spellStart"/>
            <w:r w:rsidRPr="008C014F">
              <w:rPr>
                <w:rFonts w:asciiTheme="majorHAnsi" w:eastAsia="Times New Roman" w:hAnsiTheme="majorHAnsi" w:cstheme="majorHAnsi"/>
                <w:i/>
                <w:iCs/>
                <w:color w:val="000000"/>
                <w:lang w:eastAsia="cs-CZ"/>
              </w:rPr>
              <w:t>group</w:t>
            </w:r>
            <w:proofErr w:type="spellEnd"/>
            <w:r w:rsidRPr="008C014F">
              <w:rPr>
                <w:rFonts w:asciiTheme="majorHAnsi" w:eastAsia="Times New Roman" w:hAnsiTheme="majorHAnsi" w:cstheme="majorHAnsi"/>
                <w:i/>
                <w:iCs/>
                <w:color w:val="000000"/>
                <w:lang w:eastAsia="cs-CZ"/>
              </w:rPr>
              <w:t xml:space="preserve"> – sexual </w:t>
            </w:r>
            <w:proofErr w:type="spellStart"/>
            <w:r w:rsidRPr="008C014F">
              <w:rPr>
                <w:rFonts w:asciiTheme="majorHAnsi" w:eastAsia="Times New Roman" w:hAnsiTheme="majorHAnsi" w:cstheme="majorHAnsi"/>
                <w:i/>
                <w:iCs/>
                <w:color w:val="000000"/>
                <w:lang w:eastAsia="cs-CZ"/>
              </w:rPr>
              <w:t>orientation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persecution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grounds</w:t>
            </w:r>
            <w:proofErr w:type="spellEnd"/>
            <w:r w:rsidRPr="008C014F">
              <w:rPr>
                <w:rFonts w:asciiTheme="majorHAnsi" w:eastAsia="Times New Roman" w:hAnsiTheme="majorHAnsi" w:cstheme="majorHAnsi"/>
                <w:i/>
                <w:iCs/>
                <w:color w:val="000000"/>
                <w:lang w:eastAsia="cs-CZ"/>
              </w:rPr>
              <w:t xml:space="preserve"> and </w:t>
            </w:r>
            <w:proofErr w:type="spellStart"/>
            <w:r w:rsidRPr="008C014F">
              <w:rPr>
                <w:rFonts w:asciiTheme="majorHAnsi" w:eastAsia="Times New Roman" w:hAnsiTheme="majorHAnsi" w:cstheme="majorHAnsi"/>
                <w:i/>
                <w:iCs/>
                <w:color w:val="000000"/>
                <w:lang w:eastAsia="cs-CZ"/>
              </w:rPr>
              <w:t>reasons</w:t>
            </w:r>
            <w:proofErr w:type="spellEnd"/>
            <w:r w:rsidRPr="008C014F">
              <w:rPr>
                <w:rFonts w:asciiTheme="majorHAnsi" w:eastAsia="Times New Roman" w:hAnsiTheme="majorHAnsi" w:cstheme="majorHAnsi"/>
                <w:i/>
                <w:iCs/>
                <w:color w:val="000000"/>
                <w:lang w:eastAsia="cs-CZ"/>
              </w:rPr>
              <w:t xml:space="preserve"> - medical </w:t>
            </w:r>
            <w:proofErr w:type="spellStart"/>
            <w:r w:rsidRPr="008C014F">
              <w:rPr>
                <w:rFonts w:asciiTheme="majorHAnsi" w:eastAsia="Times New Roman" w:hAnsiTheme="majorHAnsi" w:cstheme="majorHAnsi"/>
                <w:i/>
                <w:iCs/>
                <w:color w:val="000000"/>
                <w:lang w:eastAsia="cs-CZ"/>
              </w:rPr>
              <w:t>reports</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credibilty</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assessment</w:t>
            </w:r>
            <w:proofErr w:type="spellEnd"/>
            <w:r w:rsidRPr="008C014F">
              <w:rPr>
                <w:rFonts w:asciiTheme="majorHAnsi" w:eastAsia="Times New Roman" w:hAnsiTheme="majorHAnsi" w:cstheme="majorHAnsi"/>
                <w:i/>
                <w:iCs/>
                <w:color w:val="000000"/>
                <w:lang w:eastAsia="cs-CZ"/>
              </w:rPr>
              <w:t>)</w:t>
            </w:r>
          </w:p>
          <w:p w14:paraId="57B7D90B" w14:textId="77777777" w:rsidR="00BB66F7" w:rsidRPr="008C014F" w:rsidRDefault="00BB66F7" w:rsidP="00BB66F7">
            <w:pPr>
              <w:jc w:val="both"/>
              <w:rPr>
                <w:rFonts w:asciiTheme="majorHAnsi" w:eastAsia="Times New Roman" w:hAnsiTheme="majorHAnsi" w:cstheme="majorHAnsi"/>
                <w:b/>
                <w:bCs/>
                <w:color w:val="000000"/>
                <w:lang w:eastAsia="cs-CZ"/>
              </w:rPr>
            </w:pPr>
          </w:p>
          <w:p w14:paraId="430E4EB1"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Cases C-411-10 and C-493-10 (</w:t>
            </w:r>
            <w:proofErr w:type="spellStart"/>
            <w:r w:rsidRPr="008C014F">
              <w:rPr>
                <w:rFonts w:asciiTheme="majorHAnsi" w:eastAsia="Times New Roman" w:hAnsiTheme="majorHAnsi" w:cstheme="majorHAnsi"/>
                <w:i/>
                <w:iCs/>
                <w:color w:val="000000"/>
                <w:lang w:eastAsia="cs-CZ"/>
              </w:rPr>
              <w:t>Joined</w:t>
            </w:r>
            <w:proofErr w:type="spellEnd"/>
            <w:r w:rsidRPr="008C014F">
              <w:rPr>
                <w:rFonts w:asciiTheme="majorHAnsi" w:eastAsia="Times New Roman" w:hAnsiTheme="majorHAnsi" w:cstheme="majorHAnsi"/>
                <w:i/>
                <w:iCs/>
                <w:color w:val="000000"/>
                <w:lang w:eastAsia="cs-CZ"/>
              </w:rPr>
              <w:t xml:space="preserve"> cases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N.S. v </w:t>
            </w:r>
            <w:proofErr w:type="spellStart"/>
            <w:r w:rsidRPr="008C014F">
              <w:rPr>
                <w:rFonts w:asciiTheme="majorHAnsi" w:eastAsia="Times New Roman" w:hAnsiTheme="majorHAnsi" w:cstheme="majorHAnsi"/>
                <w:i/>
                <w:iCs/>
                <w:color w:val="000000"/>
                <w:lang w:eastAsia="cs-CZ"/>
              </w:rPr>
              <w:t>United</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Kingdom</w:t>
            </w:r>
            <w:proofErr w:type="spellEnd"/>
            <w:r w:rsidRPr="008C014F">
              <w:rPr>
                <w:rFonts w:asciiTheme="majorHAnsi" w:eastAsia="Times New Roman" w:hAnsiTheme="majorHAnsi" w:cstheme="majorHAnsi"/>
                <w:i/>
                <w:iCs/>
                <w:color w:val="000000"/>
                <w:lang w:eastAsia="cs-CZ"/>
              </w:rPr>
              <w:t xml:space="preserve"> and M.E. v </w:t>
            </w:r>
            <w:proofErr w:type="spellStart"/>
            <w:r w:rsidRPr="008C014F">
              <w:rPr>
                <w:rFonts w:asciiTheme="majorHAnsi" w:eastAsia="Times New Roman" w:hAnsiTheme="majorHAnsi" w:cstheme="majorHAnsi"/>
                <w:i/>
                <w:iCs/>
                <w:color w:val="000000"/>
                <w:lang w:eastAsia="cs-CZ"/>
              </w:rPr>
              <w:t>Ireland</w:t>
            </w:r>
            <w:proofErr w:type="spellEnd"/>
            <w:r w:rsidRPr="008C014F">
              <w:rPr>
                <w:rFonts w:asciiTheme="majorHAnsi" w:eastAsia="Times New Roman" w:hAnsiTheme="majorHAnsi" w:cstheme="majorHAnsi"/>
                <w:color w:val="000000"/>
                <w:lang w:eastAsia="cs-CZ"/>
              </w:rPr>
              <w:t xml:space="preserve">, </w:t>
            </w:r>
            <w:proofErr w:type="spellStart"/>
            <w:r w:rsidRPr="008C014F">
              <w:rPr>
                <w:rFonts w:asciiTheme="majorHAnsi" w:eastAsia="Times New Roman" w:hAnsiTheme="majorHAnsi" w:cstheme="majorHAnsi"/>
                <w:color w:val="000000"/>
                <w:lang w:eastAsia="cs-CZ"/>
              </w:rPr>
              <w:t>December</w:t>
            </w:r>
            <w:proofErr w:type="spellEnd"/>
            <w:r w:rsidRPr="008C014F">
              <w:rPr>
                <w:rFonts w:asciiTheme="majorHAnsi" w:eastAsia="Times New Roman" w:hAnsiTheme="majorHAnsi" w:cstheme="majorHAnsi"/>
                <w:color w:val="000000"/>
                <w:lang w:eastAsia="cs-CZ"/>
              </w:rPr>
              <w:t xml:space="preserve"> 21, 2011), </w:t>
            </w:r>
            <w:proofErr w:type="spellStart"/>
            <w:r w:rsidRPr="008C014F">
              <w:rPr>
                <w:rFonts w:asciiTheme="majorHAnsi" w:eastAsia="Times New Roman" w:hAnsiTheme="majorHAnsi" w:cstheme="majorHAnsi"/>
                <w:b/>
                <w:bCs/>
                <w:color w:val="000000"/>
                <w:lang w:eastAsia="cs-CZ"/>
              </w:rPr>
              <w:t>references</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Court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of</w:t>
            </w:r>
            <w:proofErr w:type="spellEnd"/>
            <w:r w:rsidRPr="008C014F">
              <w:rPr>
                <w:rFonts w:asciiTheme="majorHAnsi" w:eastAsia="Times New Roman" w:hAnsiTheme="majorHAnsi" w:cstheme="majorHAnsi"/>
                <w:b/>
                <w:bCs/>
                <w:color w:val="000000"/>
                <w:lang w:eastAsia="cs-CZ"/>
              </w:rPr>
              <w:t xml:space="preserve"> Appeal (</w:t>
            </w:r>
            <w:proofErr w:type="spellStart"/>
            <w:r w:rsidRPr="008C014F">
              <w:rPr>
                <w:rFonts w:asciiTheme="majorHAnsi" w:eastAsia="Times New Roman" w:hAnsiTheme="majorHAnsi" w:cstheme="majorHAnsi"/>
                <w:b/>
                <w:bCs/>
                <w:color w:val="000000"/>
                <w:lang w:eastAsia="cs-CZ"/>
              </w:rPr>
              <w:t>United</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Kingdom</w:t>
            </w:r>
            <w:proofErr w:type="spellEnd"/>
            <w:r w:rsidRPr="008C014F">
              <w:rPr>
                <w:rFonts w:asciiTheme="majorHAnsi" w:eastAsia="Times New Roman" w:hAnsiTheme="majorHAnsi" w:cstheme="majorHAnsi"/>
                <w:b/>
                <w:bCs/>
                <w:color w:val="000000"/>
                <w:lang w:eastAsia="cs-CZ"/>
              </w:rPr>
              <w:t xml:space="preserve">) and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High </w:t>
            </w:r>
            <w:proofErr w:type="spellStart"/>
            <w:r w:rsidRPr="008C014F">
              <w:rPr>
                <w:rFonts w:asciiTheme="majorHAnsi" w:eastAsia="Times New Roman" w:hAnsiTheme="majorHAnsi" w:cstheme="majorHAnsi"/>
                <w:b/>
                <w:bCs/>
                <w:color w:val="000000"/>
                <w:lang w:eastAsia="cs-CZ"/>
              </w:rPr>
              <w:t>Court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Ireland</w:t>
            </w:r>
            <w:proofErr w:type="spellEnd"/>
            <w:r w:rsidRPr="008C014F">
              <w:rPr>
                <w:rFonts w:asciiTheme="majorHAnsi" w:eastAsia="Times New Roman" w:hAnsiTheme="majorHAnsi" w:cstheme="majorHAnsi"/>
                <w:b/>
                <w:bCs/>
                <w:color w:val="000000"/>
                <w:lang w:eastAsia="cs-CZ"/>
              </w:rPr>
              <w:t>)</w:t>
            </w:r>
          </w:p>
          <w:p w14:paraId="16EDB206"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Dublin</w:t>
            </w:r>
            <w:proofErr w:type="spellEnd"/>
            <w:r w:rsidRPr="008C014F">
              <w:rPr>
                <w:rFonts w:asciiTheme="majorHAnsi" w:eastAsia="Times New Roman" w:hAnsiTheme="majorHAnsi" w:cstheme="majorHAnsi"/>
                <w:i/>
                <w:iCs/>
                <w:color w:val="000000"/>
                <w:lang w:eastAsia="cs-CZ"/>
              </w:rPr>
              <w:t xml:space="preserve"> transfer - non-</w:t>
            </w:r>
            <w:proofErr w:type="spellStart"/>
            <w:r w:rsidRPr="008C014F">
              <w:rPr>
                <w:rFonts w:asciiTheme="majorHAnsi" w:eastAsia="Times New Roman" w:hAnsiTheme="majorHAnsi" w:cstheme="majorHAnsi"/>
                <w:i/>
                <w:iCs/>
                <w:color w:val="000000"/>
                <w:lang w:eastAsia="cs-CZ"/>
              </w:rPr>
              <w:t>refoulment</w:t>
            </w:r>
            <w:proofErr w:type="spellEnd"/>
            <w:r w:rsidRPr="008C014F">
              <w:rPr>
                <w:rFonts w:asciiTheme="majorHAnsi" w:eastAsia="Times New Roman" w:hAnsiTheme="majorHAnsi" w:cstheme="majorHAnsi"/>
                <w:i/>
                <w:iCs/>
                <w:color w:val="000000"/>
                <w:lang w:eastAsia="cs-CZ"/>
              </w:rPr>
              <w:t xml:space="preserve"> </w:t>
            </w:r>
            <w:proofErr w:type="gramStart"/>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safe</w:t>
            </w:r>
            <w:proofErr w:type="spellEnd"/>
            <w:proofErr w:type="gram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third</w:t>
            </w:r>
            <w:proofErr w:type="spellEnd"/>
            <w:r w:rsidRPr="008C014F">
              <w:rPr>
                <w:rFonts w:asciiTheme="majorHAnsi" w:eastAsia="Times New Roman" w:hAnsiTheme="majorHAnsi" w:cstheme="majorHAnsi"/>
                <w:i/>
                <w:iCs/>
                <w:color w:val="000000"/>
                <w:lang w:eastAsia="cs-CZ"/>
              </w:rPr>
              <w:t xml:space="preserve"> country - </w:t>
            </w:r>
            <w:proofErr w:type="spellStart"/>
            <w:r w:rsidRPr="008C014F">
              <w:rPr>
                <w:rFonts w:asciiTheme="majorHAnsi" w:eastAsia="Times New Roman" w:hAnsiTheme="majorHAnsi" w:cstheme="majorHAnsi"/>
                <w:i/>
                <w:iCs/>
                <w:color w:val="000000"/>
                <w:lang w:eastAsia="cs-CZ"/>
              </w:rPr>
              <w:t>effective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acces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procedures</w:t>
            </w:r>
            <w:proofErr w:type="spellEnd"/>
            <w:r w:rsidRPr="008C014F">
              <w:rPr>
                <w:rFonts w:asciiTheme="majorHAnsi" w:eastAsia="Times New Roman" w:hAnsiTheme="majorHAnsi" w:cstheme="majorHAnsi"/>
                <w:i/>
                <w:iCs/>
                <w:color w:val="000000"/>
                <w:lang w:eastAsia="cs-CZ"/>
              </w:rPr>
              <w:t xml:space="preserve"> and </w:t>
            </w:r>
            <w:proofErr w:type="spellStart"/>
            <w:r w:rsidRPr="008C014F">
              <w:rPr>
                <w:rFonts w:asciiTheme="majorHAnsi" w:eastAsia="Times New Roman" w:hAnsiTheme="majorHAnsi" w:cstheme="majorHAnsi"/>
                <w:i/>
                <w:iCs/>
                <w:color w:val="000000"/>
                <w:lang w:eastAsia="cs-CZ"/>
              </w:rPr>
              <w:t>right</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remedy</w:t>
            </w:r>
            <w:proofErr w:type="spellEnd"/>
          </w:p>
          <w:p w14:paraId="37D33BDD" w14:textId="77777777" w:rsidR="00BB66F7" w:rsidRPr="008C014F" w:rsidRDefault="00BB66F7" w:rsidP="00BB66F7">
            <w:pPr>
              <w:jc w:val="both"/>
              <w:rPr>
                <w:rFonts w:asciiTheme="majorHAnsi" w:eastAsia="Times New Roman" w:hAnsiTheme="majorHAnsi" w:cstheme="majorHAnsi"/>
                <w:color w:val="000000"/>
                <w:lang w:val="en-US" w:eastAsia="cs-CZ"/>
              </w:rPr>
            </w:pPr>
          </w:p>
          <w:p w14:paraId="3DAC6327"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Cases C-297-17, C-318-17, C-319-17 and C-438/17 </w:t>
            </w:r>
            <w:r w:rsidRPr="008C014F">
              <w:rPr>
                <w:rFonts w:asciiTheme="majorHAnsi" w:eastAsia="Times New Roman" w:hAnsiTheme="majorHAnsi" w:cstheme="majorHAnsi"/>
                <w:color w:val="000000"/>
                <w:lang w:eastAsia="cs-CZ"/>
              </w:rPr>
              <w:t>(</w:t>
            </w:r>
            <w:r w:rsidRPr="008C014F">
              <w:rPr>
                <w:rFonts w:asciiTheme="majorHAnsi" w:eastAsia="Times New Roman" w:hAnsiTheme="majorHAnsi" w:cstheme="majorHAnsi"/>
                <w:i/>
                <w:iCs/>
                <w:color w:val="000000"/>
                <w:lang w:eastAsia="cs-CZ"/>
              </w:rPr>
              <w:t>Ibrahim,</w:t>
            </w:r>
            <w:r w:rsidRPr="008C014F">
              <w:rPr>
                <w:rFonts w:asciiTheme="majorHAnsi" w:eastAsia="Times New Roman" w:hAnsiTheme="majorHAnsi" w:cstheme="majorHAnsi"/>
                <w:color w:val="000000"/>
                <w:lang w:eastAsia="cs-CZ"/>
              </w:rPr>
              <w:t xml:space="preserve"> March 19, 2019), </w:t>
            </w:r>
            <w:proofErr w:type="spellStart"/>
            <w:r w:rsidRPr="008C014F">
              <w:rPr>
                <w:rFonts w:asciiTheme="majorHAnsi" w:eastAsia="Times New Roman" w:hAnsiTheme="majorHAnsi" w:cstheme="majorHAnsi"/>
                <w:b/>
                <w:bCs/>
                <w:color w:val="000000"/>
                <w:lang w:eastAsia="cs-CZ"/>
              </w:rPr>
              <w:t>requests</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Bundesverwaltungsgericht</w:t>
            </w:r>
            <w:proofErr w:type="spellEnd"/>
            <w:r w:rsidRPr="008C014F">
              <w:rPr>
                <w:rFonts w:asciiTheme="majorHAnsi" w:eastAsia="Times New Roman" w:hAnsiTheme="majorHAnsi" w:cstheme="majorHAnsi"/>
                <w:b/>
                <w:bCs/>
                <w:color w:val="000000"/>
                <w:lang w:eastAsia="cs-CZ"/>
              </w:rPr>
              <w:t xml:space="preserve"> (Federal Administrative </w:t>
            </w:r>
            <w:proofErr w:type="spellStart"/>
            <w:r w:rsidRPr="008C014F">
              <w:rPr>
                <w:rFonts w:asciiTheme="majorHAnsi" w:eastAsia="Times New Roman" w:hAnsiTheme="majorHAnsi" w:cstheme="majorHAnsi"/>
                <w:b/>
                <w:bCs/>
                <w:color w:val="000000"/>
                <w:lang w:eastAsia="cs-CZ"/>
              </w:rPr>
              <w:t>Court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Germany</w:t>
            </w:r>
            <w:proofErr w:type="spellEnd"/>
            <w:r w:rsidRPr="008C014F">
              <w:rPr>
                <w:rFonts w:asciiTheme="majorHAnsi" w:eastAsia="Times New Roman" w:hAnsiTheme="majorHAnsi" w:cstheme="majorHAnsi"/>
                <w:b/>
                <w:bCs/>
                <w:color w:val="000000"/>
                <w:lang w:eastAsia="cs-CZ"/>
              </w:rPr>
              <w:t>)</w:t>
            </w:r>
          </w:p>
          <w:p w14:paraId="1964AF27"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gramStart"/>
            <w:r w:rsidRPr="008C014F">
              <w:rPr>
                <w:rFonts w:asciiTheme="majorHAnsi" w:eastAsia="Times New Roman" w:hAnsiTheme="majorHAnsi" w:cstheme="majorHAnsi"/>
                <w:i/>
                <w:iCs/>
                <w:color w:val="000000"/>
                <w:lang w:eastAsia="cs-CZ"/>
              </w:rPr>
              <w:t>living</w:t>
            </w:r>
            <w:proofErr w:type="gram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conditions</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infringements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Qualification</w:t>
            </w:r>
            <w:proofErr w:type="spellEnd"/>
            <w:r w:rsidRPr="008C014F">
              <w:rPr>
                <w:rFonts w:asciiTheme="majorHAnsi" w:eastAsia="Times New Roman" w:hAnsiTheme="majorHAnsi" w:cstheme="majorHAnsi"/>
                <w:i/>
                <w:iCs/>
                <w:color w:val="000000"/>
                <w:lang w:eastAsia="cs-CZ"/>
              </w:rPr>
              <w:t xml:space="preserve"> Directive - transfer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Member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State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who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granted</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international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protection</w:t>
            </w:r>
            <w:proofErr w:type="spellEnd"/>
          </w:p>
          <w:p w14:paraId="46A038CB" w14:textId="77777777" w:rsidR="00BB66F7" w:rsidRPr="008C014F" w:rsidRDefault="00BB66F7" w:rsidP="00BB66F7">
            <w:pPr>
              <w:jc w:val="both"/>
              <w:rPr>
                <w:rFonts w:asciiTheme="majorHAnsi" w:hAnsiTheme="majorHAnsi" w:cstheme="majorHAnsi"/>
                <w:color w:val="000000" w:themeColor="text1"/>
                <w:lang w:val="en-US"/>
              </w:rPr>
            </w:pPr>
          </w:p>
          <w:p w14:paraId="0BAFA47B"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C-528/11 (</w:t>
            </w:r>
            <w:proofErr w:type="spellStart"/>
            <w:r w:rsidRPr="008C014F">
              <w:rPr>
                <w:rFonts w:asciiTheme="majorHAnsi" w:eastAsia="Times New Roman" w:hAnsiTheme="majorHAnsi" w:cstheme="majorHAnsi"/>
                <w:i/>
                <w:iCs/>
                <w:color w:val="000000"/>
                <w:lang w:eastAsia="cs-CZ"/>
              </w:rPr>
              <w:t>Halaf</w:t>
            </w:r>
            <w:proofErr w:type="spellEnd"/>
            <w:r w:rsidRPr="008C014F">
              <w:rPr>
                <w:rFonts w:asciiTheme="majorHAnsi" w:eastAsia="Times New Roman" w:hAnsiTheme="majorHAnsi" w:cstheme="majorHAnsi"/>
                <w:color w:val="000000"/>
                <w:lang w:eastAsia="cs-CZ"/>
              </w:rPr>
              <w:t xml:space="preserve">, May 30, 2013), </w:t>
            </w:r>
            <w:proofErr w:type="spellStart"/>
            <w:r w:rsidRPr="008C014F">
              <w:rPr>
                <w:rFonts w:asciiTheme="majorHAnsi" w:eastAsia="Times New Roman" w:hAnsiTheme="majorHAnsi" w:cstheme="majorHAnsi"/>
                <w:b/>
                <w:bCs/>
                <w:color w:val="000000"/>
                <w:lang w:eastAsia="cs-CZ"/>
              </w:rPr>
              <w:t>request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Administrativen</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sad</w:t>
            </w:r>
            <w:proofErr w:type="spellEnd"/>
            <w:r w:rsidRPr="008C014F">
              <w:rPr>
                <w:rFonts w:asciiTheme="majorHAnsi" w:eastAsia="Times New Roman" w:hAnsiTheme="majorHAnsi" w:cstheme="majorHAnsi"/>
                <w:b/>
                <w:bCs/>
                <w:color w:val="000000"/>
                <w:lang w:eastAsia="cs-CZ"/>
              </w:rPr>
              <w:t xml:space="preserve"> Sofia-</w:t>
            </w:r>
            <w:proofErr w:type="spellStart"/>
            <w:r w:rsidRPr="008C014F">
              <w:rPr>
                <w:rFonts w:asciiTheme="majorHAnsi" w:eastAsia="Times New Roman" w:hAnsiTheme="majorHAnsi" w:cstheme="majorHAnsi"/>
                <w:b/>
                <w:bCs/>
                <w:color w:val="000000"/>
                <w:lang w:eastAsia="cs-CZ"/>
              </w:rPr>
              <w:t>grad</w:t>
            </w:r>
            <w:proofErr w:type="spellEnd"/>
            <w:r w:rsidRPr="008C014F">
              <w:rPr>
                <w:rFonts w:asciiTheme="majorHAnsi" w:eastAsia="Times New Roman" w:hAnsiTheme="majorHAnsi" w:cstheme="majorHAnsi"/>
                <w:b/>
                <w:bCs/>
                <w:color w:val="000000"/>
                <w:lang w:eastAsia="cs-CZ"/>
              </w:rPr>
              <w:t xml:space="preserve"> (Bulgaria)</w:t>
            </w:r>
          </w:p>
          <w:p w14:paraId="6C45C943"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Determination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responsible</w:t>
            </w:r>
            <w:proofErr w:type="spellEnd"/>
            <w:r w:rsidRPr="008C014F">
              <w:rPr>
                <w:rFonts w:asciiTheme="majorHAnsi" w:eastAsia="Times New Roman" w:hAnsiTheme="majorHAnsi" w:cstheme="majorHAnsi"/>
                <w:i/>
                <w:iCs/>
                <w:color w:val="000000"/>
                <w:lang w:eastAsia="cs-CZ"/>
              </w:rPr>
              <w:t xml:space="preserve"> MS </w:t>
            </w:r>
            <w:proofErr w:type="spellStart"/>
            <w:r w:rsidRPr="008C014F">
              <w:rPr>
                <w:rFonts w:asciiTheme="majorHAnsi" w:eastAsia="Times New Roman" w:hAnsiTheme="majorHAnsi" w:cstheme="majorHAnsi"/>
                <w:i/>
                <w:iCs/>
                <w:color w:val="000000"/>
                <w:lang w:eastAsia="cs-CZ"/>
              </w:rPr>
              <w:t>for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examining</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asylum</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application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discretion</w:t>
            </w:r>
            <w:proofErr w:type="spellEnd"/>
            <w:r w:rsidRPr="008C014F">
              <w:rPr>
                <w:rFonts w:asciiTheme="majorHAnsi" w:eastAsia="Times New Roman" w:hAnsiTheme="majorHAnsi" w:cstheme="majorHAnsi"/>
                <w:i/>
                <w:iCs/>
                <w:color w:val="000000"/>
                <w:lang w:eastAsia="cs-CZ"/>
              </w:rPr>
              <w:t xml:space="preserve"> - role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the</w:t>
            </w:r>
            <w:proofErr w:type="spellEnd"/>
            <w:r w:rsidRPr="008C014F">
              <w:rPr>
                <w:rFonts w:asciiTheme="majorHAnsi" w:eastAsia="Times New Roman" w:hAnsiTheme="majorHAnsi" w:cstheme="majorHAnsi"/>
                <w:i/>
                <w:iCs/>
                <w:color w:val="000000"/>
                <w:lang w:eastAsia="cs-CZ"/>
              </w:rPr>
              <w:t xml:space="preserve"> Office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UNHCR</w:t>
            </w:r>
          </w:p>
          <w:p w14:paraId="4C471396" w14:textId="77777777" w:rsidR="00BB66F7" w:rsidRPr="008C014F" w:rsidRDefault="00BB66F7" w:rsidP="00BB66F7">
            <w:pPr>
              <w:jc w:val="both"/>
              <w:rPr>
                <w:rFonts w:asciiTheme="majorHAnsi" w:hAnsiTheme="majorHAnsi" w:cstheme="majorHAnsi"/>
                <w:color w:val="000000" w:themeColor="text1"/>
              </w:rPr>
            </w:pPr>
          </w:p>
          <w:p w14:paraId="5DC75242"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C-181/16 (</w:t>
            </w:r>
            <w:proofErr w:type="spellStart"/>
            <w:r w:rsidRPr="008C014F">
              <w:rPr>
                <w:rFonts w:asciiTheme="majorHAnsi" w:eastAsia="Times New Roman" w:hAnsiTheme="majorHAnsi" w:cstheme="majorHAnsi"/>
                <w:i/>
                <w:iCs/>
                <w:color w:val="000000"/>
                <w:lang w:eastAsia="cs-CZ"/>
              </w:rPr>
              <w:t>Gnandi</w:t>
            </w:r>
            <w:proofErr w:type="spellEnd"/>
            <w:r w:rsidRPr="008C014F">
              <w:rPr>
                <w:rFonts w:asciiTheme="majorHAnsi" w:eastAsia="Times New Roman" w:hAnsiTheme="majorHAnsi" w:cstheme="majorHAnsi"/>
                <w:color w:val="000000"/>
                <w:lang w:eastAsia="cs-CZ"/>
              </w:rPr>
              <w:t xml:space="preserve">, June 19, 2018), </w:t>
            </w:r>
            <w:proofErr w:type="spellStart"/>
            <w:r w:rsidRPr="008C014F">
              <w:rPr>
                <w:rFonts w:asciiTheme="majorHAnsi" w:eastAsia="Times New Roman" w:hAnsiTheme="majorHAnsi" w:cstheme="majorHAnsi"/>
                <w:b/>
                <w:bCs/>
                <w:color w:val="000000"/>
                <w:lang w:eastAsia="cs-CZ"/>
              </w:rPr>
              <w:t>request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Belgian</w:t>
            </w:r>
            <w:proofErr w:type="spellEnd"/>
            <w:r w:rsidRPr="008C014F">
              <w:rPr>
                <w:rFonts w:asciiTheme="majorHAnsi" w:eastAsia="Times New Roman" w:hAnsiTheme="majorHAnsi" w:cstheme="majorHAnsi"/>
                <w:b/>
                <w:bCs/>
                <w:color w:val="000000"/>
                <w:lang w:eastAsia="cs-CZ"/>
              </w:rPr>
              <w:t xml:space="preserve"> Council </w:t>
            </w:r>
            <w:proofErr w:type="spellStart"/>
            <w:r w:rsidRPr="008C014F">
              <w:rPr>
                <w:rFonts w:asciiTheme="majorHAnsi" w:eastAsia="Times New Roman" w:hAnsiTheme="majorHAnsi" w:cstheme="majorHAnsi"/>
                <w:b/>
                <w:bCs/>
                <w:color w:val="000000"/>
                <w:lang w:eastAsia="cs-CZ"/>
              </w:rPr>
              <w:t>of</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State</w:t>
            </w:r>
            <w:proofErr w:type="spellEnd"/>
          </w:p>
          <w:p w14:paraId="42AB95FA"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lastRenderedPageBreak/>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Return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illegally</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staying</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third</w:t>
            </w:r>
            <w:proofErr w:type="spellEnd"/>
            <w:r w:rsidRPr="008C014F">
              <w:rPr>
                <w:rFonts w:asciiTheme="majorHAnsi" w:eastAsia="Times New Roman" w:hAnsiTheme="majorHAnsi" w:cstheme="majorHAnsi"/>
                <w:i/>
                <w:iCs/>
                <w:color w:val="000000"/>
                <w:lang w:eastAsia="cs-CZ"/>
              </w:rPr>
              <w:t xml:space="preserve">-country </w:t>
            </w:r>
            <w:proofErr w:type="spellStart"/>
            <w:r w:rsidRPr="008C014F">
              <w:rPr>
                <w:rFonts w:asciiTheme="majorHAnsi" w:eastAsia="Times New Roman" w:hAnsiTheme="majorHAnsi" w:cstheme="majorHAnsi"/>
                <w:i/>
                <w:iCs/>
                <w:color w:val="000000"/>
                <w:lang w:eastAsia="cs-CZ"/>
              </w:rPr>
              <w:t>national</w:t>
            </w:r>
            <w:proofErr w:type="spellEnd"/>
            <w:r w:rsidRPr="008C014F">
              <w:rPr>
                <w:rFonts w:asciiTheme="majorHAnsi" w:eastAsia="Times New Roman" w:hAnsiTheme="majorHAnsi" w:cstheme="majorHAnsi"/>
                <w:i/>
                <w:iCs/>
                <w:color w:val="000000"/>
                <w:lang w:eastAsia="cs-CZ"/>
              </w:rPr>
              <w:t xml:space="preserve"> - concept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illegal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stay</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authorisation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remail</w:t>
            </w:r>
            <w:proofErr w:type="spellEnd"/>
            <w:r w:rsidRPr="008C014F">
              <w:rPr>
                <w:rFonts w:asciiTheme="majorHAnsi" w:eastAsia="Times New Roman" w:hAnsiTheme="majorHAnsi" w:cstheme="majorHAnsi"/>
                <w:i/>
                <w:iCs/>
                <w:color w:val="000000"/>
                <w:lang w:eastAsia="cs-CZ"/>
              </w:rPr>
              <w:t xml:space="preserve"> in MS - non-</w:t>
            </w:r>
            <w:proofErr w:type="spellStart"/>
            <w:r w:rsidRPr="008C014F">
              <w:rPr>
                <w:rFonts w:asciiTheme="majorHAnsi" w:eastAsia="Times New Roman" w:hAnsiTheme="majorHAnsi" w:cstheme="majorHAnsi"/>
                <w:i/>
                <w:iCs/>
                <w:color w:val="000000"/>
                <w:lang w:eastAsia="cs-CZ"/>
              </w:rPr>
              <w:t>refoulement</w:t>
            </w:r>
            <w:proofErr w:type="spellEnd"/>
          </w:p>
          <w:p w14:paraId="4BA57628" w14:textId="77777777" w:rsidR="00BB66F7" w:rsidRPr="008C014F" w:rsidRDefault="00BB66F7" w:rsidP="00BB66F7">
            <w:pPr>
              <w:jc w:val="both"/>
              <w:rPr>
                <w:rFonts w:asciiTheme="majorHAnsi" w:hAnsiTheme="majorHAnsi" w:cstheme="majorHAnsi"/>
                <w:color w:val="000000" w:themeColor="text1"/>
              </w:rPr>
            </w:pPr>
          </w:p>
          <w:p w14:paraId="25B2AA4F"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C-57/09 (</w:t>
            </w:r>
            <w:r w:rsidRPr="008C014F">
              <w:rPr>
                <w:rFonts w:asciiTheme="majorHAnsi" w:eastAsia="Times New Roman" w:hAnsiTheme="majorHAnsi" w:cstheme="majorHAnsi"/>
                <w:i/>
                <w:iCs/>
                <w:color w:val="000000"/>
                <w:lang w:eastAsia="cs-CZ"/>
              </w:rPr>
              <w:t>B and D</w:t>
            </w:r>
            <w:r w:rsidRPr="008C014F">
              <w:rPr>
                <w:rFonts w:asciiTheme="majorHAnsi" w:eastAsia="Times New Roman" w:hAnsiTheme="majorHAnsi" w:cstheme="majorHAnsi"/>
                <w:color w:val="000000"/>
                <w:lang w:eastAsia="cs-CZ"/>
              </w:rPr>
              <w:t xml:space="preserve">, </w:t>
            </w:r>
            <w:proofErr w:type="spellStart"/>
            <w:r w:rsidRPr="008C014F">
              <w:rPr>
                <w:rFonts w:asciiTheme="majorHAnsi" w:eastAsia="Times New Roman" w:hAnsiTheme="majorHAnsi" w:cstheme="majorHAnsi"/>
                <w:color w:val="000000"/>
                <w:lang w:eastAsia="cs-CZ"/>
              </w:rPr>
              <w:t>November</w:t>
            </w:r>
            <w:proofErr w:type="spellEnd"/>
            <w:r w:rsidRPr="008C014F">
              <w:rPr>
                <w:rFonts w:asciiTheme="majorHAnsi" w:eastAsia="Times New Roman" w:hAnsiTheme="majorHAnsi" w:cstheme="majorHAnsi"/>
                <w:color w:val="000000"/>
                <w:lang w:eastAsia="cs-CZ"/>
              </w:rPr>
              <w:t xml:space="preserve"> 9, 2010), </w:t>
            </w:r>
            <w:proofErr w:type="spellStart"/>
            <w:r w:rsidRPr="008C014F">
              <w:rPr>
                <w:rFonts w:asciiTheme="majorHAnsi" w:eastAsia="Times New Roman" w:hAnsiTheme="majorHAnsi" w:cstheme="majorHAnsi"/>
                <w:b/>
                <w:bCs/>
                <w:color w:val="000000"/>
                <w:lang w:eastAsia="cs-CZ"/>
              </w:rPr>
              <w:t>request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Bundesverwaltungsgericht</w:t>
            </w:r>
            <w:proofErr w:type="spellEnd"/>
            <w:r w:rsidRPr="008C014F">
              <w:rPr>
                <w:rFonts w:asciiTheme="majorHAnsi" w:eastAsia="Times New Roman" w:hAnsiTheme="majorHAnsi" w:cstheme="majorHAnsi"/>
                <w:b/>
                <w:bCs/>
                <w:color w:val="000000"/>
                <w:lang w:eastAsia="cs-CZ"/>
              </w:rPr>
              <w:t xml:space="preserve"> - </w:t>
            </w:r>
            <w:proofErr w:type="spellStart"/>
            <w:r w:rsidRPr="008C014F">
              <w:rPr>
                <w:rFonts w:asciiTheme="majorHAnsi" w:eastAsia="Times New Roman" w:hAnsiTheme="majorHAnsi" w:cstheme="majorHAnsi"/>
                <w:b/>
                <w:bCs/>
                <w:color w:val="000000"/>
                <w:lang w:eastAsia="cs-CZ"/>
              </w:rPr>
              <w:t>Germany</w:t>
            </w:r>
            <w:proofErr w:type="spellEnd"/>
          </w:p>
          <w:p w14:paraId="523C6101"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minimum</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standards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for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refugee</w:t>
            </w:r>
            <w:proofErr w:type="spellEnd"/>
            <w:r w:rsidRPr="008C014F">
              <w:rPr>
                <w:rFonts w:asciiTheme="majorHAnsi" w:eastAsia="Times New Roman" w:hAnsiTheme="majorHAnsi" w:cstheme="majorHAnsi"/>
                <w:i/>
                <w:iCs/>
                <w:color w:val="000000"/>
                <w:lang w:eastAsia="cs-CZ"/>
              </w:rPr>
              <w:t xml:space="preserve"> </w:t>
            </w:r>
            <w:proofErr w:type="gramStart"/>
            <w:r w:rsidRPr="008C014F">
              <w:rPr>
                <w:rFonts w:asciiTheme="majorHAnsi" w:eastAsia="Times New Roman" w:hAnsiTheme="majorHAnsi" w:cstheme="majorHAnsi"/>
                <w:i/>
                <w:iCs/>
                <w:color w:val="000000"/>
                <w:lang w:eastAsia="cs-CZ"/>
              </w:rPr>
              <w:t>status</w:t>
            </w:r>
            <w:proofErr w:type="gram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subsidiary</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protection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exclusion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serious</w:t>
            </w:r>
            <w:proofErr w:type="spellEnd"/>
            <w:r w:rsidRPr="008C014F">
              <w:rPr>
                <w:rFonts w:asciiTheme="majorHAnsi" w:eastAsia="Times New Roman" w:hAnsiTheme="majorHAnsi" w:cstheme="majorHAnsi"/>
                <w:i/>
                <w:iCs/>
                <w:color w:val="000000"/>
                <w:lang w:eastAsia="cs-CZ"/>
              </w:rPr>
              <w:t xml:space="preserve"> non-</w:t>
            </w:r>
            <w:proofErr w:type="spellStart"/>
            <w:r w:rsidRPr="008C014F">
              <w:rPr>
                <w:rFonts w:asciiTheme="majorHAnsi" w:eastAsia="Times New Roman" w:hAnsiTheme="majorHAnsi" w:cstheme="majorHAnsi"/>
                <w:i/>
                <w:iCs/>
                <w:color w:val="000000"/>
                <w:lang w:eastAsia="cs-CZ"/>
              </w:rPr>
              <w:t>political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crime</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membership</w:t>
            </w:r>
            <w:proofErr w:type="spellEnd"/>
            <w:r w:rsidRPr="008C014F">
              <w:rPr>
                <w:rFonts w:asciiTheme="majorHAnsi" w:eastAsia="Times New Roman" w:hAnsiTheme="majorHAnsi" w:cstheme="majorHAnsi"/>
                <w:i/>
                <w:iCs/>
                <w:color w:val="000000"/>
                <w:lang w:eastAsia="cs-CZ"/>
              </w:rPr>
              <w:t xml:space="preserve"> in </w:t>
            </w:r>
            <w:proofErr w:type="spellStart"/>
            <w:r w:rsidRPr="008C014F">
              <w:rPr>
                <w:rFonts w:asciiTheme="majorHAnsi" w:eastAsia="Times New Roman" w:hAnsiTheme="majorHAnsi" w:cstheme="majorHAnsi"/>
                <w:i/>
                <w:iCs/>
                <w:color w:val="000000"/>
                <w:lang w:eastAsia="cs-CZ"/>
              </w:rPr>
              <w:t>terrorist</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organisation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right</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asylum</w:t>
            </w:r>
            <w:proofErr w:type="spellEnd"/>
            <w:r w:rsidRPr="008C014F">
              <w:rPr>
                <w:rFonts w:asciiTheme="majorHAnsi" w:eastAsia="Times New Roman" w:hAnsiTheme="majorHAnsi" w:cstheme="majorHAnsi"/>
                <w:i/>
                <w:iCs/>
                <w:color w:val="000000"/>
                <w:lang w:eastAsia="cs-CZ"/>
              </w:rPr>
              <w:t xml:space="preserve"> in </w:t>
            </w:r>
            <w:proofErr w:type="spellStart"/>
            <w:r w:rsidRPr="008C014F">
              <w:rPr>
                <w:rFonts w:asciiTheme="majorHAnsi" w:eastAsia="Times New Roman" w:hAnsiTheme="majorHAnsi" w:cstheme="majorHAnsi"/>
                <w:i/>
                <w:iCs/>
                <w:color w:val="000000"/>
                <w:lang w:eastAsia="cs-CZ"/>
              </w:rPr>
              <w:t>national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constitutional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law</w:t>
            </w:r>
            <w:proofErr w:type="spellEnd"/>
          </w:p>
          <w:p w14:paraId="71624810" w14:textId="77777777" w:rsidR="00BB66F7" w:rsidRPr="008C014F" w:rsidRDefault="00BB66F7" w:rsidP="00BB66F7">
            <w:pPr>
              <w:jc w:val="both"/>
              <w:rPr>
                <w:rFonts w:asciiTheme="majorHAnsi" w:eastAsia="Times New Roman" w:hAnsiTheme="majorHAnsi" w:cstheme="majorHAnsi"/>
                <w:b/>
                <w:bCs/>
                <w:color w:val="000000"/>
                <w:lang w:eastAsia="cs-CZ"/>
              </w:rPr>
            </w:pPr>
          </w:p>
          <w:p w14:paraId="627392CF"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C-673/19 (</w:t>
            </w:r>
            <w:r w:rsidRPr="008C014F">
              <w:rPr>
                <w:rFonts w:asciiTheme="majorHAnsi" w:eastAsia="Times New Roman" w:hAnsiTheme="majorHAnsi" w:cstheme="majorHAnsi"/>
                <w:i/>
                <w:iCs/>
                <w:color w:val="000000"/>
                <w:lang w:eastAsia="cs-CZ"/>
              </w:rPr>
              <w:t xml:space="preserve">M and </w:t>
            </w:r>
            <w:proofErr w:type="spellStart"/>
            <w:r w:rsidRPr="008C014F">
              <w:rPr>
                <w:rFonts w:asciiTheme="majorHAnsi" w:eastAsia="Times New Roman" w:hAnsiTheme="majorHAnsi" w:cstheme="majorHAnsi"/>
                <w:i/>
                <w:iCs/>
                <w:color w:val="000000"/>
                <w:lang w:eastAsia="cs-CZ"/>
              </w:rPr>
              <w:t>Others</w:t>
            </w:r>
            <w:proofErr w:type="spellEnd"/>
            <w:r w:rsidRPr="008C014F">
              <w:rPr>
                <w:rFonts w:asciiTheme="majorHAnsi" w:eastAsia="Times New Roman" w:hAnsiTheme="majorHAnsi" w:cstheme="majorHAnsi"/>
                <w:i/>
                <w:iCs/>
                <w:color w:val="000000"/>
                <w:lang w:eastAsia="cs-CZ"/>
              </w:rPr>
              <w:t xml:space="preserve"> v </w:t>
            </w:r>
            <w:proofErr w:type="spellStart"/>
            <w:r w:rsidRPr="008C014F">
              <w:rPr>
                <w:rFonts w:asciiTheme="majorHAnsi" w:eastAsia="Times New Roman" w:hAnsiTheme="majorHAnsi" w:cstheme="majorHAnsi"/>
                <w:i/>
                <w:iCs/>
                <w:color w:val="000000"/>
                <w:lang w:eastAsia="cs-CZ"/>
              </w:rPr>
              <w:t>Staatssecretaris</w:t>
            </w:r>
            <w:proofErr w:type="spellEnd"/>
            <w:r w:rsidRPr="008C014F">
              <w:rPr>
                <w:rFonts w:asciiTheme="majorHAnsi" w:eastAsia="Times New Roman" w:hAnsiTheme="majorHAnsi" w:cstheme="majorHAnsi"/>
                <w:i/>
                <w:iCs/>
                <w:color w:val="000000"/>
                <w:lang w:eastAsia="cs-CZ"/>
              </w:rPr>
              <w:t xml:space="preserve"> van </w:t>
            </w:r>
            <w:proofErr w:type="spellStart"/>
            <w:r w:rsidRPr="008C014F">
              <w:rPr>
                <w:rFonts w:asciiTheme="majorHAnsi" w:eastAsia="Times New Roman" w:hAnsiTheme="majorHAnsi" w:cstheme="majorHAnsi"/>
                <w:i/>
                <w:iCs/>
                <w:color w:val="000000"/>
                <w:lang w:eastAsia="cs-CZ"/>
              </w:rPr>
              <w:t>Justitie</w:t>
            </w:r>
            <w:proofErr w:type="spellEnd"/>
            <w:r w:rsidRPr="008C014F">
              <w:rPr>
                <w:rFonts w:asciiTheme="majorHAnsi" w:eastAsia="Times New Roman" w:hAnsiTheme="majorHAnsi" w:cstheme="majorHAnsi"/>
                <w:i/>
                <w:iCs/>
                <w:color w:val="000000"/>
                <w:lang w:eastAsia="cs-CZ"/>
              </w:rPr>
              <w:t xml:space="preserve"> en </w:t>
            </w:r>
            <w:proofErr w:type="spellStart"/>
            <w:r w:rsidRPr="008C014F">
              <w:rPr>
                <w:rFonts w:asciiTheme="majorHAnsi" w:eastAsia="Times New Roman" w:hAnsiTheme="majorHAnsi" w:cstheme="majorHAnsi"/>
                <w:i/>
                <w:iCs/>
                <w:color w:val="000000"/>
                <w:lang w:eastAsia="cs-CZ"/>
              </w:rPr>
              <w:t>Veiligheid</w:t>
            </w:r>
            <w:proofErr w:type="spellEnd"/>
            <w:r w:rsidRPr="008C014F">
              <w:rPr>
                <w:rFonts w:asciiTheme="majorHAnsi" w:eastAsia="Times New Roman" w:hAnsiTheme="majorHAnsi" w:cstheme="majorHAnsi"/>
                <w:i/>
                <w:iCs/>
                <w:color w:val="000000"/>
                <w:lang w:eastAsia="cs-CZ"/>
              </w:rPr>
              <w:t xml:space="preserve"> and T.</w:t>
            </w:r>
            <w:r w:rsidRPr="008C014F">
              <w:rPr>
                <w:rFonts w:asciiTheme="majorHAnsi" w:eastAsia="Times New Roman" w:hAnsiTheme="majorHAnsi" w:cstheme="majorHAnsi"/>
                <w:color w:val="000000"/>
                <w:lang w:eastAsia="cs-CZ"/>
              </w:rPr>
              <w:t xml:space="preserve">, </w:t>
            </w:r>
            <w:proofErr w:type="spellStart"/>
            <w:r w:rsidRPr="008C014F">
              <w:rPr>
                <w:rFonts w:asciiTheme="majorHAnsi" w:eastAsia="Times New Roman" w:hAnsiTheme="majorHAnsi" w:cstheme="majorHAnsi"/>
                <w:color w:val="000000"/>
                <w:lang w:eastAsia="cs-CZ"/>
              </w:rPr>
              <w:t>February</w:t>
            </w:r>
            <w:proofErr w:type="spellEnd"/>
            <w:r w:rsidRPr="008C014F">
              <w:rPr>
                <w:rFonts w:asciiTheme="majorHAnsi" w:eastAsia="Times New Roman" w:hAnsiTheme="majorHAnsi" w:cstheme="majorHAnsi"/>
                <w:color w:val="000000"/>
                <w:lang w:eastAsia="cs-CZ"/>
              </w:rPr>
              <w:t xml:space="preserve"> 24, 2021</w:t>
            </w:r>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request</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a </w:t>
            </w:r>
            <w:proofErr w:type="spellStart"/>
            <w:r w:rsidRPr="008C014F">
              <w:rPr>
                <w:rFonts w:asciiTheme="majorHAnsi" w:eastAsia="Times New Roman" w:hAnsiTheme="majorHAnsi" w:cstheme="majorHAnsi"/>
                <w:b/>
                <w:bCs/>
                <w:color w:val="000000"/>
                <w:lang w:eastAsia="cs-CZ"/>
              </w:rPr>
              <w:t>preliminary</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ruling</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from</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the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Raad</w:t>
            </w:r>
            <w:proofErr w:type="spellEnd"/>
            <w:r w:rsidRPr="008C014F">
              <w:rPr>
                <w:rFonts w:asciiTheme="majorHAnsi" w:eastAsia="Times New Roman" w:hAnsiTheme="majorHAnsi" w:cstheme="majorHAnsi"/>
                <w:b/>
                <w:bCs/>
                <w:color w:val="000000"/>
                <w:lang w:eastAsia="cs-CZ"/>
              </w:rPr>
              <w:t xml:space="preserve"> van </w:t>
            </w:r>
            <w:proofErr w:type="spellStart"/>
            <w:r w:rsidRPr="008C014F">
              <w:rPr>
                <w:rFonts w:asciiTheme="majorHAnsi" w:eastAsia="Times New Roman" w:hAnsiTheme="majorHAnsi" w:cstheme="majorHAnsi"/>
                <w:b/>
                <w:bCs/>
                <w:color w:val="000000"/>
                <w:lang w:eastAsia="cs-CZ"/>
              </w:rPr>
              <w:t>State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Netherlands</w:t>
            </w:r>
            <w:proofErr w:type="spellEnd"/>
            <w:r w:rsidRPr="008C014F">
              <w:rPr>
                <w:rFonts w:asciiTheme="majorHAnsi" w:eastAsia="Times New Roman" w:hAnsiTheme="majorHAnsi" w:cstheme="majorHAnsi"/>
                <w:b/>
                <w:bCs/>
                <w:color w:val="000000"/>
                <w:lang w:eastAsia="cs-CZ"/>
              </w:rPr>
              <w:t>)</w:t>
            </w:r>
          </w:p>
          <w:p w14:paraId="06D3F8ED"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illegal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stay</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detention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for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purpose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of</w:t>
            </w:r>
            <w:proofErr w:type="spellEnd"/>
            <w:r w:rsidRPr="008C014F">
              <w:rPr>
                <w:rFonts w:asciiTheme="majorHAnsi" w:eastAsia="Times New Roman" w:hAnsiTheme="majorHAnsi" w:cstheme="majorHAnsi"/>
                <w:i/>
                <w:iCs/>
                <w:color w:val="000000"/>
                <w:lang w:eastAsia="cs-CZ"/>
              </w:rPr>
              <w:t xml:space="preserve"> transfer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another</w:t>
            </w:r>
            <w:proofErr w:type="spellEnd"/>
            <w:r w:rsidRPr="008C014F">
              <w:rPr>
                <w:rFonts w:asciiTheme="majorHAnsi" w:eastAsia="Times New Roman" w:hAnsiTheme="majorHAnsi" w:cstheme="majorHAnsi"/>
                <w:i/>
                <w:iCs/>
                <w:color w:val="000000"/>
                <w:lang w:eastAsia="cs-CZ"/>
              </w:rPr>
              <w:t xml:space="preserve"> MS, no </w:t>
            </w:r>
            <w:proofErr w:type="spellStart"/>
            <w:r w:rsidRPr="008C014F">
              <w:rPr>
                <w:rFonts w:asciiTheme="majorHAnsi" w:eastAsia="Times New Roman" w:hAnsiTheme="majorHAnsi" w:cstheme="majorHAnsi"/>
                <w:i/>
                <w:iCs/>
                <w:color w:val="000000"/>
                <w:lang w:eastAsia="cs-CZ"/>
              </w:rPr>
              <w:t>return</w:t>
            </w:r>
            <w:proofErr w:type="spellEnd"/>
            <w:r w:rsidRPr="008C014F">
              <w:rPr>
                <w:rFonts w:asciiTheme="majorHAnsi" w:eastAsia="Times New Roman" w:hAnsiTheme="majorHAnsi" w:cstheme="majorHAnsi"/>
                <w:i/>
                <w:iCs/>
                <w:color w:val="000000"/>
                <w:lang w:eastAsia="cs-CZ"/>
              </w:rPr>
              <w:t xml:space="preserve"> decisión - </w:t>
            </w:r>
            <w:proofErr w:type="spellStart"/>
            <w:r w:rsidRPr="008C014F">
              <w:rPr>
                <w:rFonts w:asciiTheme="majorHAnsi" w:eastAsia="Times New Roman" w:hAnsiTheme="majorHAnsi" w:cstheme="majorHAnsi"/>
                <w:i/>
                <w:iCs/>
                <w:color w:val="000000"/>
                <w:lang w:eastAsia="cs-CZ"/>
              </w:rPr>
              <w:t>forced</w:t>
            </w:r>
            <w:proofErr w:type="spellEnd"/>
            <w:r w:rsidRPr="008C014F">
              <w:rPr>
                <w:rFonts w:asciiTheme="majorHAnsi" w:eastAsia="Times New Roman" w:hAnsiTheme="majorHAnsi" w:cstheme="majorHAnsi"/>
                <w:i/>
                <w:iCs/>
                <w:color w:val="000000"/>
                <w:lang w:eastAsia="cs-CZ"/>
              </w:rPr>
              <w:t xml:space="preserve"> transfer - </w:t>
            </w:r>
            <w:proofErr w:type="spellStart"/>
            <w:r w:rsidRPr="008C014F">
              <w:rPr>
                <w:rFonts w:asciiTheme="majorHAnsi" w:eastAsia="Times New Roman" w:hAnsiTheme="majorHAnsi" w:cstheme="majorHAnsi"/>
                <w:i/>
                <w:iCs/>
                <w:color w:val="000000"/>
                <w:lang w:eastAsia="cs-CZ"/>
              </w:rPr>
              <w:t>refusion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comply</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with</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the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order</w:t>
            </w:r>
            <w:proofErr w:type="spellEnd"/>
          </w:p>
          <w:p w14:paraId="0D015AE4" w14:textId="77777777" w:rsidR="00BB66F7" w:rsidRPr="008C014F" w:rsidRDefault="00BB66F7" w:rsidP="00BB66F7">
            <w:pPr>
              <w:jc w:val="both"/>
              <w:rPr>
                <w:rFonts w:asciiTheme="majorHAnsi" w:eastAsia="Times New Roman" w:hAnsiTheme="majorHAnsi" w:cstheme="majorHAnsi"/>
                <w:color w:val="000000"/>
                <w:lang w:eastAsia="cs-CZ"/>
              </w:rPr>
            </w:pPr>
          </w:p>
          <w:p w14:paraId="0808988D" w14:textId="77777777" w:rsidR="00BB66F7" w:rsidRPr="008C014F" w:rsidRDefault="00BB66F7" w:rsidP="00BB66F7">
            <w:pPr>
              <w:jc w:val="both"/>
              <w:rPr>
                <w:rFonts w:asciiTheme="majorHAnsi" w:eastAsia="Times New Roman" w:hAnsiTheme="majorHAnsi" w:cstheme="majorHAnsi"/>
                <w:b/>
                <w:bCs/>
                <w:color w:val="000000"/>
                <w:lang w:eastAsia="cs-CZ"/>
              </w:rPr>
            </w:pPr>
            <w:r w:rsidRPr="008C014F">
              <w:rPr>
                <w:rFonts w:asciiTheme="majorHAnsi" w:eastAsia="Times New Roman" w:hAnsiTheme="majorHAnsi" w:cstheme="majorHAnsi"/>
                <w:b/>
                <w:bCs/>
                <w:color w:val="000000"/>
                <w:lang w:eastAsia="cs-CZ"/>
              </w:rPr>
              <w:t xml:space="preserve">CJEU </w:t>
            </w:r>
            <w:proofErr w:type="spellStart"/>
            <w:r w:rsidRPr="008C014F">
              <w:rPr>
                <w:rFonts w:asciiTheme="majorHAnsi" w:eastAsia="Times New Roman" w:hAnsiTheme="majorHAnsi" w:cstheme="majorHAnsi"/>
                <w:b/>
                <w:bCs/>
                <w:color w:val="000000"/>
                <w:lang w:eastAsia="cs-CZ"/>
              </w:rPr>
              <w:t>Judgement</w:t>
            </w:r>
            <w:proofErr w:type="spellEnd"/>
            <w:r w:rsidRPr="008C014F">
              <w:rPr>
                <w:rFonts w:asciiTheme="majorHAnsi" w:eastAsia="Times New Roman" w:hAnsiTheme="majorHAnsi" w:cstheme="majorHAnsi"/>
                <w:b/>
                <w:bCs/>
                <w:color w:val="000000"/>
                <w:lang w:eastAsia="cs-CZ"/>
              </w:rPr>
              <w:t xml:space="preserve"> in Case C-808/18 (</w:t>
            </w:r>
            <w:proofErr w:type="spellStart"/>
            <w:r w:rsidRPr="008C014F">
              <w:rPr>
                <w:rFonts w:asciiTheme="majorHAnsi" w:eastAsia="Times New Roman" w:hAnsiTheme="majorHAnsi" w:cstheme="majorHAnsi"/>
                <w:i/>
                <w:iCs/>
                <w:color w:val="000000"/>
                <w:lang w:eastAsia="cs-CZ"/>
              </w:rPr>
              <w:t>European</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Commission</w:t>
            </w:r>
            <w:proofErr w:type="spellEnd"/>
            <w:r w:rsidRPr="008C014F">
              <w:rPr>
                <w:rFonts w:asciiTheme="majorHAnsi" w:eastAsia="Times New Roman" w:hAnsiTheme="majorHAnsi" w:cstheme="majorHAnsi"/>
                <w:i/>
                <w:iCs/>
                <w:color w:val="000000"/>
                <w:lang w:eastAsia="cs-CZ"/>
              </w:rPr>
              <w:t xml:space="preserve"> v </w:t>
            </w:r>
            <w:proofErr w:type="spellStart"/>
            <w:r w:rsidRPr="008C014F">
              <w:rPr>
                <w:rFonts w:asciiTheme="majorHAnsi" w:eastAsia="Times New Roman" w:hAnsiTheme="majorHAnsi" w:cstheme="majorHAnsi"/>
                <w:i/>
                <w:iCs/>
                <w:color w:val="000000"/>
                <w:lang w:eastAsia="cs-CZ"/>
              </w:rPr>
              <w:t>Hungary</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color w:val="000000"/>
                <w:lang w:eastAsia="cs-CZ"/>
              </w:rPr>
              <w:t>December</w:t>
            </w:r>
            <w:proofErr w:type="spellEnd"/>
            <w:r w:rsidRPr="008C014F">
              <w:rPr>
                <w:rFonts w:asciiTheme="majorHAnsi" w:eastAsia="Times New Roman" w:hAnsiTheme="majorHAnsi" w:cstheme="majorHAnsi"/>
                <w:color w:val="000000"/>
                <w:lang w:eastAsia="cs-CZ"/>
              </w:rPr>
              <w:t xml:space="preserve"> 17, 2020), </w:t>
            </w:r>
            <w:proofErr w:type="spellStart"/>
            <w:r w:rsidRPr="008C014F">
              <w:rPr>
                <w:rFonts w:asciiTheme="majorHAnsi" w:eastAsia="Times New Roman" w:hAnsiTheme="majorHAnsi" w:cstheme="majorHAnsi"/>
                <w:b/>
                <w:bCs/>
                <w:color w:val="000000"/>
                <w:lang w:eastAsia="cs-CZ"/>
              </w:rPr>
              <w:t>action</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for</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failure</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to</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fulfil</w:t>
            </w:r>
            <w:proofErr w:type="spellEnd"/>
            <w:r w:rsidRPr="008C014F">
              <w:rPr>
                <w:rFonts w:asciiTheme="majorHAnsi" w:eastAsia="Times New Roman" w:hAnsiTheme="majorHAnsi" w:cstheme="majorHAnsi"/>
                <w:b/>
                <w:bCs/>
                <w:color w:val="000000"/>
                <w:lang w:eastAsia="cs-CZ"/>
              </w:rPr>
              <w:t xml:space="preserve"> </w:t>
            </w:r>
            <w:proofErr w:type="spellStart"/>
            <w:r w:rsidRPr="008C014F">
              <w:rPr>
                <w:rFonts w:asciiTheme="majorHAnsi" w:eastAsia="Times New Roman" w:hAnsiTheme="majorHAnsi" w:cstheme="majorHAnsi"/>
                <w:b/>
                <w:bCs/>
                <w:color w:val="000000"/>
                <w:lang w:eastAsia="cs-CZ"/>
              </w:rPr>
              <w:t>obligations</w:t>
            </w:r>
            <w:proofErr w:type="spellEnd"/>
          </w:p>
          <w:p w14:paraId="4CD103C8" w14:textId="77777777" w:rsidR="00BB66F7" w:rsidRPr="008C014F" w:rsidRDefault="00BB66F7" w:rsidP="00BB66F7">
            <w:pPr>
              <w:jc w:val="both"/>
              <w:rPr>
                <w:rFonts w:asciiTheme="majorHAnsi" w:eastAsia="Times New Roman" w:hAnsiTheme="majorHAnsi" w:cstheme="majorHAnsi"/>
                <w:i/>
                <w:iCs/>
                <w:color w:val="000000"/>
                <w:lang w:eastAsia="cs-CZ"/>
              </w:rPr>
            </w:pPr>
            <w:r w:rsidRPr="008C014F">
              <w:rPr>
                <w:rFonts w:asciiTheme="majorHAnsi" w:eastAsia="Times New Roman" w:hAnsiTheme="majorHAnsi" w:cstheme="majorHAnsi"/>
                <w:i/>
                <w:iCs/>
                <w:color w:val="000000"/>
                <w:lang w:eastAsia="cs-CZ"/>
              </w:rPr>
              <w:t xml:space="preserve">Key </w:t>
            </w:r>
            <w:proofErr w:type="spellStart"/>
            <w:r w:rsidRPr="008C014F">
              <w:rPr>
                <w:rFonts w:asciiTheme="majorHAnsi" w:eastAsia="Times New Roman" w:hAnsiTheme="majorHAnsi" w:cstheme="majorHAnsi"/>
                <w:i/>
                <w:iCs/>
                <w:color w:val="000000"/>
                <w:lang w:eastAsia="cs-CZ"/>
              </w:rPr>
              <w:t>words</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procedure</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for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granting</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international</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protection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border</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procedure</w:t>
            </w:r>
            <w:proofErr w:type="spellEnd"/>
            <w:r w:rsidRPr="008C014F">
              <w:rPr>
                <w:rFonts w:asciiTheme="majorHAnsi" w:eastAsia="Times New Roman" w:hAnsiTheme="majorHAnsi" w:cstheme="majorHAnsi"/>
                <w:i/>
                <w:iCs/>
                <w:color w:val="000000"/>
                <w:lang w:eastAsia="cs-CZ"/>
              </w:rPr>
              <w:t xml:space="preserve"> - procedural </w:t>
            </w:r>
            <w:proofErr w:type="spellStart"/>
            <w:r w:rsidRPr="008C014F">
              <w:rPr>
                <w:rFonts w:asciiTheme="majorHAnsi" w:eastAsia="Times New Roman" w:hAnsiTheme="majorHAnsi" w:cstheme="majorHAnsi"/>
                <w:i/>
                <w:iCs/>
                <w:color w:val="000000"/>
                <w:lang w:eastAsia="cs-CZ"/>
              </w:rPr>
              <w:t>safeguards</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detention</w:t>
            </w:r>
            <w:proofErr w:type="spellEnd"/>
            <w:r w:rsidRPr="008C014F">
              <w:rPr>
                <w:rFonts w:asciiTheme="majorHAnsi" w:eastAsia="Times New Roman" w:hAnsiTheme="majorHAnsi" w:cstheme="majorHAnsi"/>
                <w:i/>
                <w:iCs/>
                <w:color w:val="000000"/>
                <w:lang w:eastAsia="cs-CZ"/>
              </w:rPr>
              <w:t xml:space="preserve"> - </w:t>
            </w:r>
            <w:proofErr w:type="spellStart"/>
            <w:r w:rsidRPr="008C014F">
              <w:rPr>
                <w:rFonts w:asciiTheme="majorHAnsi" w:eastAsia="Times New Roman" w:hAnsiTheme="majorHAnsi" w:cstheme="majorHAnsi"/>
                <w:i/>
                <w:iCs/>
                <w:color w:val="000000"/>
                <w:lang w:eastAsia="cs-CZ"/>
              </w:rPr>
              <w:t>right</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to</w:t>
            </w:r>
            <w:proofErr w:type="spellEnd"/>
            <w:r w:rsidRPr="008C014F">
              <w:rPr>
                <w:rFonts w:asciiTheme="majorHAnsi" w:eastAsia="Times New Roman" w:hAnsiTheme="majorHAnsi" w:cstheme="majorHAnsi"/>
                <w:i/>
                <w:iCs/>
                <w:color w:val="000000"/>
                <w:lang w:eastAsia="cs-CZ"/>
              </w:rPr>
              <w:t xml:space="preserve"> </w:t>
            </w:r>
            <w:proofErr w:type="spellStart"/>
            <w:r w:rsidRPr="008C014F">
              <w:rPr>
                <w:rFonts w:asciiTheme="majorHAnsi" w:eastAsia="Times New Roman" w:hAnsiTheme="majorHAnsi" w:cstheme="majorHAnsi"/>
                <w:i/>
                <w:iCs/>
                <w:color w:val="000000"/>
                <w:lang w:eastAsia="cs-CZ"/>
              </w:rPr>
              <w:t>remain</w:t>
            </w:r>
            <w:proofErr w:type="spellEnd"/>
            <w:r w:rsidRPr="008C014F">
              <w:rPr>
                <w:rFonts w:asciiTheme="majorHAnsi" w:eastAsia="Times New Roman" w:hAnsiTheme="majorHAnsi" w:cstheme="majorHAnsi"/>
                <w:i/>
                <w:iCs/>
                <w:color w:val="000000"/>
                <w:lang w:eastAsia="cs-CZ"/>
              </w:rPr>
              <w:t xml:space="preserve"> in </w:t>
            </w:r>
            <w:proofErr w:type="spellStart"/>
            <w:r w:rsidRPr="008C014F">
              <w:rPr>
                <w:rFonts w:asciiTheme="majorHAnsi" w:eastAsia="Times New Roman" w:hAnsiTheme="majorHAnsi" w:cstheme="majorHAnsi"/>
                <w:i/>
                <w:iCs/>
                <w:color w:val="000000"/>
                <w:lang w:eastAsia="cs-CZ"/>
              </w:rPr>
              <w:t>territory</w:t>
            </w:r>
            <w:proofErr w:type="spellEnd"/>
          </w:p>
          <w:p w14:paraId="5C7CACBA" w14:textId="1D811ED0" w:rsidR="00BB66F7" w:rsidRPr="00CD3B67" w:rsidRDefault="00BB66F7" w:rsidP="00BB66F7">
            <w:pPr>
              <w:pStyle w:val="NormalWeb"/>
              <w:spacing w:before="0" w:beforeAutospacing="0" w:after="0" w:afterAutospacing="0"/>
              <w:jc w:val="both"/>
              <w:rPr>
                <w:rFonts w:asciiTheme="minorHAnsi" w:hAnsiTheme="minorHAnsi" w:cstheme="minorHAnsi"/>
              </w:rPr>
            </w:pPr>
          </w:p>
        </w:tc>
      </w:tr>
      <w:tr w:rsidR="00BB66F7" w:rsidRPr="008E2D64" w14:paraId="4058ADFD" w14:textId="77777777" w:rsidTr="00541A2A">
        <w:tc>
          <w:tcPr>
            <w:tcW w:w="8494" w:type="dxa"/>
          </w:tcPr>
          <w:p w14:paraId="7A523F70" w14:textId="77777777" w:rsidR="00BB66F7" w:rsidRPr="009F095C" w:rsidRDefault="00BB66F7" w:rsidP="00BB66F7">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BB66F7" w:rsidRPr="008E2D64" w14:paraId="152D4BB4" w14:textId="77777777" w:rsidTr="00541A2A">
        <w:tc>
          <w:tcPr>
            <w:tcW w:w="8494" w:type="dxa"/>
          </w:tcPr>
          <w:p w14:paraId="5C72B146" w14:textId="77777777" w:rsidR="00BB66F7" w:rsidRDefault="00BB66F7" w:rsidP="00BB66F7">
            <w:pPr>
              <w:jc w:val="both"/>
              <w:rPr>
                <w:rFonts w:asciiTheme="majorHAnsi" w:eastAsia="Times New Roman" w:hAnsiTheme="majorHAnsi" w:cstheme="majorHAnsi"/>
                <w:kern w:val="0"/>
                <w:lang w:val="en-GB" w:eastAsia="es-ES_tradnl"/>
                <w14:ligatures w14:val="none"/>
              </w:rPr>
            </w:pPr>
          </w:p>
          <w:p w14:paraId="1100BE67"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The complexity of EU Asylum Law offers </w:t>
            </w:r>
            <w:proofErr w:type="gramStart"/>
            <w:r w:rsidRPr="008C014F">
              <w:rPr>
                <w:rFonts w:asciiTheme="majorHAnsi" w:hAnsiTheme="majorHAnsi" w:cstheme="majorHAnsi"/>
                <w:lang w:val="en-US"/>
              </w:rPr>
              <w:t>a number of</w:t>
            </w:r>
            <w:proofErr w:type="gramEnd"/>
            <w:r w:rsidRPr="008C014F">
              <w:rPr>
                <w:rFonts w:asciiTheme="majorHAnsi" w:hAnsiTheme="majorHAnsi" w:cstheme="majorHAnsi"/>
                <w:lang w:val="en-US"/>
              </w:rPr>
              <w:t xml:space="preserve"> unsettled issues that will continue to be considered by the CJEU in the future. </w:t>
            </w:r>
          </w:p>
          <w:p w14:paraId="64953016" w14:textId="77777777" w:rsidR="00BB66F7" w:rsidRPr="008C014F" w:rsidRDefault="00BB66F7" w:rsidP="00BB66F7">
            <w:pPr>
              <w:rPr>
                <w:rFonts w:asciiTheme="majorHAnsi" w:hAnsiTheme="majorHAnsi" w:cstheme="majorHAnsi"/>
                <w:lang w:val="en-US"/>
              </w:rPr>
            </w:pPr>
          </w:p>
          <w:p w14:paraId="4A629E73"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First and foremost, it should be noted that the CJEU has never expressed a precise view on the exact content of the right to asylum. Does Article 18 enshrine a genuine entitlement of the individual to asylum? What is the precise component of Article 18? All these questions remain unresolved by the CJEU, as the Court only provides partial guidance on these matters in its </w:t>
            </w:r>
            <w:proofErr w:type="gramStart"/>
            <w:r w:rsidRPr="008C014F">
              <w:rPr>
                <w:rFonts w:asciiTheme="majorHAnsi" w:hAnsiTheme="majorHAnsi" w:cstheme="majorHAnsi"/>
                <w:lang w:val="en-US"/>
              </w:rPr>
              <w:t>case-law</w:t>
            </w:r>
            <w:proofErr w:type="gramEnd"/>
            <w:r w:rsidRPr="008C014F">
              <w:rPr>
                <w:rFonts w:asciiTheme="majorHAnsi" w:hAnsiTheme="majorHAnsi" w:cstheme="majorHAnsi"/>
                <w:lang w:val="en-US"/>
              </w:rPr>
              <w:t>.</w:t>
            </w:r>
          </w:p>
          <w:p w14:paraId="44656F2E" w14:textId="77777777" w:rsidR="00BB66F7" w:rsidRPr="008C014F" w:rsidRDefault="00BB66F7" w:rsidP="00BB66F7">
            <w:pPr>
              <w:jc w:val="both"/>
              <w:rPr>
                <w:rFonts w:asciiTheme="majorHAnsi" w:hAnsiTheme="majorHAnsi" w:cstheme="majorHAnsi"/>
                <w:lang w:val="en-US"/>
              </w:rPr>
            </w:pPr>
          </w:p>
          <w:p w14:paraId="0267038B"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Moreover, the content of Article 18 is usually perceived as being defined by the body of CEAS instruments. However, this view should be reconsidered given the primacy of the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over secondary legislation. In practice, a critical lawyer should raise the following questions: </w:t>
            </w:r>
          </w:p>
          <w:p w14:paraId="44FF9814" w14:textId="77777777" w:rsidR="00BB66F7" w:rsidRPr="008C014F" w:rsidRDefault="00BB66F7" w:rsidP="00BB66F7">
            <w:pPr>
              <w:pStyle w:val="Paragraphedeliste"/>
              <w:numPr>
                <w:ilvl w:val="0"/>
                <w:numId w:val="17"/>
              </w:numPr>
              <w:jc w:val="both"/>
              <w:rPr>
                <w:rFonts w:asciiTheme="majorHAnsi" w:hAnsiTheme="majorHAnsi" w:cstheme="majorHAnsi"/>
                <w:lang w:val="en-US"/>
              </w:rPr>
            </w:pPr>
            <w:r w:rsidRPr="008C014F">
              <w:rPr>
                <w:rFonts w:asciiTheme="majorHAnsi" w:hAnsiTheme="majorHAnsi" w:cstheme="majorHAnsi"/>
                <w:lang w:val="en-US"/>
              </w:rPr>
              <w:t xml:space="preserve">Do the provisions of the various CEAS instruments comply with the right to asylum? </w:t>
            </w:r>
          </w:p>
          <w:p w14:paraId="1C7A1408" w14:textId="77777777" w:rsidR="00BB66F7" w:rsidRPr="008C014F" w:rsidRDefault="00BB66F7" w:rsidP="00BB66F7">
            <w:pPr>
              <w:pStyle w:val="Paragraphedeliste"/>
              <w:numPr>
                <w:ilvl w:val="0"/>
                <w:numId w:val="17"/>
              </w:numPr>
              <w:jc w:val="both"/>
              <w:rPr>
                <w:rFonts w:asciiTheme="majorHAnsi" w:hAnsiTheme="majorHAnsi" w:cstheme="majorHAnsi"/>
                <w:lang w:val="en-US"/>
              </w:rPr>
            </w:pPr>
            <w:r w:rsidRPr="008C014F">
              <w:rPr>
                <w:rFonts w:asciiTheme="majorHAnsi" w:hAnsiTheme="majorHAnsi" w:cstheme="majorHAnsi"/>
                <w:lang w:val="en-US"/>
              </w:rPr>
              <w:t xml:space="preserve">Are Member States correctly applying the standards for refugees and individual applicants for international protection in accordance with the existing right to asylum? </w:t>
            </w:r>
          </w:p>
          <w:p w14:paraId="125F3C71" w14:textId="77777777" w:rsidR="00BB66F7" w:rsidRPr="008C014F"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Are the rights guaranteed by other provisions of the </w:t>
            </w:r>
            <w:proofErr w:type="spellStart"/>
            <w:r w:rsidRPr="008C014F">
              <w:rPr>
                <w:rFonts w:asciiTheme="majorHAnsi" w:hAnsiTheme="majorHAnsi" w:cstheme="majorHAnsi"/>
                <w:lang w:val="en-US"/>
              </w:rPr>
              <w:t>EChFR</w:t>
            </w:r>
            <w:proofErr w:type="spellEnd"/>
            <w:r w:rsidRPr="008C014F">
              <w:rPr>
                <w:rFonts w:asciiTheme="majorHAnsi" w:hAnsiTheme="majorHAnsi" w:cstheme="majorHAnsi"/>
                <w:lang w:val="en-US"/>
              </w:rPr>
              <w:t xml:space="preserve"> respected and properly implemented? </w:t>
            </w:r>
          </w:p>
          <w:p w14:paraId="6A9E841B" w14:textId="77777777" w:rsidR="00BB66F7" w:rsidRDefault="00BB66F7" w:rsidP="00BB66F7">
            <w:pPr>
              <w:jc w:val="both"/>
              <w:rPr>
                <w:rFonts w:asciiTheme="majorHAnsi" w:hAnsiTheme="majorHAnsi" w:cstheme="majorHAnsi"/>
                <w:lang w:val="en-US"/>
              </w:rPr>
            </w:pPr>
            <w:r w:rsidRPr="008C014F">
              <w:rPr>
                <w:rFonts w:asciiTheme="majorHAnsi" w:hAnsiTheme="majorHAnsi" w:cstheme="majorHAnsi"/>
                <w:lang w:val="en-US"/>
              </w:rPr>
              <w:t xml:space="preserve">The adoption of the New Pact on Migration, a potential successor of the CEAS, adds another dimension to these questions as this potential revolution in EU Asylum Law will introduce several new challenges and opportunities to clarify the scope of Article 18. </w:t>
            </w:r>
          </w:p>
          <w:p w14:paraId="5E3EDD78" w14:textId="77777777" w:rsidR="00BB66F7" w:rsidRPr="00345A24" w:rsidRDefault="00BB66F7" w:rsidP="00BB66F7">
            <w:pPr>
              <w:jc w:val="both"/>
              <w:rPr>
                <w:rFonts w:asciiTheme="majorHAnsi" w:hAnsiTheme="majorHAnsi" w:cstheme="majorHAnsi"/>
                <w:lang w:val="fr-FR"/>
              </w:rPr>
            </w:pPr>
            <w:r>
              <w:rPr>
                <w:rFonts w:asciiTheme="majorHAnsi" w:hAnsiTheme="majorHAnsi" w:cstheme="majorHAnsi"/>
                <w:lang w:val="fr-FR"/>
              </w:rPr>
              <w:pict w14:anchorId="50C2A343">
                <v:rect id="_x0000_i1025" style="width:0;height:1.5pt" o:hralign="center" o:hrstd="t" o:hr="t" fillcolor="#a0a0a0" stroked="f"/>
              </w:pict>
            </w:r>
          </w:p>
          <w:p w14:paraId="2CC32062" w14:textId="77777777" w:rsidR="00BB66F7" w:rsidRPr="00345A24" w:rsidRDefault="00BB66F7" w:rsidP="00BB66F7">
            <w:pPr>
              <w:jc w:val="both"/>
              <w:rPr>
                <w:rFonts w:asciiTheme="majorHAnsi" w:hAnsiTheme="majorHAnsi" w:cstheme="majorHAnsi"/>
                <w:b/>
                <w:bCs/>
                <w:lang w:val="en-GB"/>
              </w:rPr>
            </w:pPr>
            <w:r w:rsidRPr="00345A24">
              <w:rPr>
                <w:rFonts w:asciiTheme="majorHAnsi" w:hAnsiTheme="majorHAnsi" w:cstheme="majorHAnsi"/>
                <w:b/>
                <w:bCs/>
                <w:lang w:val="en-GB"/>
              </w:rPr>
              <w:t>Strategic Questions for Lawyers</w:t>
            </w:r>
          </w:p>
          <w:p w14:paraId="54BE16A2" w14:textId="77777777" w:rsidR="00BB66F7" w:rsidRPr="00345A24" w:rsidRDefault="00BB66F7" w:rsidP="00BB66F7">
            <w:pPr>
              <w:jc w:val="both"/>
              <w:rPr>
                <w:rFonts w:asciiTheme="majorHAnsi" w:hAnsiTheme="majorHAnsi" w:cstheme="majorHAnsi"/>
                <w:lang w:val="en-GB"/>
              </w:rPr>
            </w:pPr>
            <w:r w:rsidRPr="00345A24">
              <w:rPr>
                <w:rFonts w:asciiTheme="majorHAnsi" w:hAnsiTheme="majorHAnsi" w:cstheme="majorHAnsi"/>
                <w:lang w:val="en-GB"/>
              </w:rPr>
              <w:t xml:space="preserve">When invoking Article 18 in asylum cases, lawyers should critically </w:t>
            </w:r>
            <w:proofErr w:type="spellStart"/>
            <w:r w:rsidRPr="00345A24">
              <w:rPr>
                <w:rFonts w:asciiTheme="majorHAnsi" w:hAnsiTheme="majorHAnsi" w:cstheme="majorHAnsi"/>
                <w:lang w:val="en-GB"/>
              </w:rPr>
              <w:t>analyze</w:t>
            </w:r>
            <w:proofErr w:type="spellEnd"/>
            <w:r w:rsidRPr="00345A24">
              <w:rPr>
                <w:rFonts w:asciiTheme="majorHAnsi" w:hAnsiTheme="majorHAnsi" w:cstheme="majorHAnsi"/>
                <w:lang w:val="en-GB"/>
              </w:rPr>
              <w:t>:</w:t>
            </w:r>
          </w:p>
          <w:p w14:paraId="1B772630" w14:textId="77777777" w:rsidR="00BB66F7" w:rsidRPr="00345A24" w:rsidRDefault="00BB66F7" w:rsidP="00BB66F7">
            <w:pPr>
              <w:numPr>
                <w:ilvl w:val="0"/>
                <w:numId w:val="18"/>
              </w:numPr>
              <w:jc w:val="both"/>
              <w:rPr>
                <w:rFonts w:asciiTheme="majorHAnsi" w:hAnsiTheme="majorHAnsi" w:cstheme="majorHAnsi"/>
                <w:lang w:val="fr-FR"/>
              </w:rPr>
            </w:pPr>
            <w:r w:rsidRPr="00345A24">
              <w:rPr>
                <w:rFonts w:asciiTheme="majorHAnsi" w:hAnsiTheme="majorHAnsi" w:cstheme="majorHAnsi"/>
                <w:b/>
                <w:bCs/>
                <w:lang w:val="fr-FR"/>
              </w:rPr>
              <w:lastRenderedPageBreak/>
              <w:t xml:space="preserve">Scope of </w:t>
            </w:r>
            <w:proofErr w:type="gramStart"/>
            <w:r w:rsidRPr="00345A24">
              <w:rPr>
                <w:rFonts w:asciiTheme="majorHAnsi" w:hAnsiTheme="majorHAnsi" w:cstheme="majorHAnsi"/>
                <w:b/>
                <w:bCs/>
                <w:lang w:val="fr-FR"/>
              </w:rPr>
              <w:t>Protection</w:t>
            </w:r>
            <w:r w:rsidRPr="00345A24">
              <w:rPr>
                <w:rFonts w:asciiTheme="majorHAnsi" w:hAnsiTheme="majorHAnsi" w:cstheme="majorHAnsi"/>
                <w:lang w:val="fr-FR"/>
              </w:rPr>
              <w:t>:</w:t>
            </w:r>
            <w:proofErr w:type="gramEnd"/>
          </w:p>
          <w:p w14:paraId="4500B10A" w14:textId="77777777" w:rsidR="00BB66F7" w:rsidRPr="00345A24" w:rsidRDefault="00BB66F7" w:rsidP="00BB66F7">
            <w:pPr>
              <w:numPr>
                <w:ilvl w:val="1"/>
                <w:numId w:val="18"/>
              </w:numPr>
              <w:jc w:val="both"/>
              <w:rPr>
                <w:rFonts w:asciiTheme="majorHAnsi" w:hAnsiTheme="majorHAnsi" w:cstheme="majorHAnsi"/>
                <w:lang w:val="en-GB"/>
              </w:rPr>
            </w:pPr>
            <w:r w:rsidRPr="00345A24">
              <w:rPr>
                <w:rFonts w:asciiTheme="majorHAnsi" w:hAnsiTheme="majorHAnsi" w:cstheme="majorHAnsi"/>
                <w:lang w:val="en-GB"/>
              </w:rPr>
              <w:t>Does Article 18 guarantee an individual’s absolute entitlement to asylum, or is its scope limited by CEAS standards?</w:t>
            </w:r>
          </w:p>
          <w:p w14:paraId="4694AFEA" w14:textId="77777777" w:rsidR="00BB66F7" w:rsidRDefault="00BB66F7" w:rsidP="00BB66F7">
            <w:pPr>
              <w:numPr>
                <w:ilvl w:val="1"/>
                <w:numId w:val="18"/>
              </w:numPr>
              <w:jc w:val="both"/>
              <w:rPr>
                <w:rFonts w:asciiTheme="majorHAnsi" w:hAnsiTheme="majorHAnsi" w:cstheme="majorHAnsi"/>
                <w:lang w:val="en-GB"/>
              </w:rPr>
            </w:pPr>
            <w:r w:rsidRPr="00345A24">
              <w:rPr>
                <w:rFonts w:asciiTheme="majorHAnsi" w:hAnsiTheme="majorHAnsi" w:cstheme="majorHAnsi"/>
                <w:lang w:val="en-GB"/>
              </w:rPr>
              <w:t>How does the right to asylum interact with related Charter rights, such as human dignity (Article 1) and the prohibition of inhuman or degrading treatment (Article 4)?</w:t>
            </w:r>
          </w:p>
          <w:p w14:paraId="75F24B4A" w14:textId="77777777" w:rsidR="00BB66F7" w:rsidRPr="00345A24" w:rsidRDefault="00BB66F7" w:rsidP="00BB66F7">
            <w:pPr>
              <w:ind w:left="1440"/>
              <w:jc w:val="both"/>
              <w:rPr>
                <w:rFonts w:asciiTheme="majorHAnsi" w:hAnsiTheme="majorHAnsi" w:cstheme="majorHAnsi"/>
                <w:lang w:val="en-GB"/>
              </w:rPr>
            </w:pPr>
          </w:p>
          <w:p w14:paraId="512D7155" w14:textId="77777777" w:rsidR="00BB66F7" w:rsidRPr="00345A24" w:rsidRDefault="00BB66F7" w:rsidP="00BB66F7">
            <w:pPr>
              <w:numPr>
                <w:ilvl w:val="0"/>
                <w:numId w:val="18"/>
              </w:numPr>
              <w:jc w:val="both"/>
              <w:rPr>
                <w:rFonts w:asciiTheme="majorHAnsi" w:hAnsiTheme="majorHAnsi" w:cstheme="majorHAnsi"/>
                <w:lang w:val="fr-FR"/>
              </w:rPr>
            </w:pPr>
            <w:r w:rsidRPr="00345A24">
              <w:rPr>
                <w:rFonts w:asciiTheme="majorHAnsi" w:hAnsiTheme="majorHAnsi" w:cstheme="majorHAnsi"/>
                <w:b/>
                <w:bCs/>
                <w:lang w:val="fr-FR"/>
              </w:rPr>
              <w:t xml:space="preserve">CEAS </w:t>
            </w:r>
            <w:proofErr w:type="gramStart"/>
            <w:r w:rsidRPr="00345A24">
              <w:rPr>
                <w:rFonts w:asciiTheme="majorHAnsi" w:hAnsiTheme="majorHAnsi" w:cstheme="majorHAnsi"/>
                <w:b/>
                <w:bCs/>
                <w:lang w:val="fr-FR"/>
              </w:rPr>
              <w:t>Compliance</w:t>
            </w:r>
            <w:r w:rsidRPr="00345A24">
              <w:rPr>
                <w:rFonts w:asciiTheme="majorHAnsi" w:hAnsiTheme="majorHAnsi" w:cstheme="majorHAnsi"/>
                <w:lang w:val="fr-FR"/>
              </w:rPr>
              <w:t>:</w:t>
            </w:r>
            <w:proofErr w:type="gramEnd"/>
          </w:p>
          <w:p w14:paraId="5761B51A" w14:textId="77777777" w:rsidR="00BB66F7" w:rsidRPr="00345A24" w:rsidRDefault="00BB66F7" w:rsidP="00BB66F7">
            <w:pPr>
              <w:numPr>
                <w:ilvl w:val="1"/>
                <w:numId w:val="18"/>
              </w:numPr>
              <w:jc w:val="both"/>
              <w:rPr>
                <w:rFonts w:asciiTheme="majorHAnsi" w:hAnsiTheme="majorHAnsi" w:cstheme="majorHAnsi"/>
                <w:lang w:val="en-GB"/>
              </w:rPr>
            </w:pPr>
            <w:r w:rsidRPr="00345A24">
              <w:rPr>
                <w:rFonts w:asciiTheme="majorHAnsi" w:hAnsiTheme="majorHAnsi" w:cstheme="majorHAnsi"/>
                <w:lang w:val="en-GB"/>
              </w:rPr>
              <w:t>Are Member States adhering to the procedural and substantive standards established under CEAS, and are these standards consistent with Article 18?</w:t>
            </w:r>
          </w:p>
          <w:p w14:paraId="5A6D7D83" w14:textId="77777777" w:rsidR="00BB66F7" w:rsidRDefault="00BB66F7" w:rsidP="00BB66F7">
            <w:pPr>
              <w:numPr>
                <w:ilvl w:val="1"/>
                <w:numId w:val="18"/>
              </w:numPr>
              <w:jc w:val="both"/>
              <w:rPr>
                <w:rFonts w:asciiTheme="majorHAnsi" w:hAnsiTheme="majorHAnsi" w:cstheme="majorHAnsi"/>
                <w:lang w:val="en-GB"/>
              </w:rPr>
            </w:pPr>
            <w:r w:rsidRPr="00345A24">
              <w:rPr>
                <w:rFonts w:asciiTheme="majorHAnsi" w:hAnsiTheme="majorHAnsi" w:cstheme="majorHAnsi"/>
                <w:lang w:val="en-GB"/>
              </w:rPr>
              <w:t>Does national implementation respect the guarantees under the Charter, including procedural fairness and effective remedies (Article 47)?</w:t>
            </w:r>
          </w:p>
          <w:p w14:paraId="75D3D2CF" w14:textId="77777777" w:rsidR="00BB66F7" w:rsidRPr="00345A24" w:rsidRDefault="00BB66F7" w:rsidP="00BB66F7">
            <w:pPr>
              <w:ind w:left="1440"/>
              <w:jc w:val="both"/>
              <w:rPr>
                <w:rFonts w:asciiTheme="majorHAnsi" w:hAnsiTheme="majorHAnsi" w:cstheme="majorHAnsi"/>
                <w:lang w:val="en-GB"/>
              </w:rPr>
            </w:pPr>
          </w:p>
          <w:p w14:paraId="3574E6FA" w14:textId="77777777" w:rsidR="00BB66F7" w:rsidRPr="00345A24" w:rsidRDefault="00BB66F7" w:rsidP="00BB66F7">
            <w:pPr>
              <w:numPr>
                <w:ilvl w:val="0"/>
                <w:numId w:val="18"/>
              </w:numPr>
              <w:jc w:val="both"/>
              <w:rPr>
                <w:rFonts w:asciiTheme="majorHAnsi" w:hAnsiTheme="majorHAnsi" w:cstheme="majorHAnsi"/>
                <w:lang w:val="en-GB"/>
              </w:rPr>
            </w:pPr>
            <w:r w:rsidRPr="00345A24">
              <w:rPr>
                <w:rFonts w:asciiTheme="majorHAnsi" w:hAnsiTheme="majorHAnsi" w:cstheme="majorHAnsi"/>
                <w:b/>
                <w:bCs/>
                <w:lang w:val="en-GB"/>
              </w:rPr>
              <w:t>Impact of New EU Policies</w:t>
            </w:r>
            <w:r w:rsidRPr="00345A24">
              <w:rPr>
                <w:rFonts w:asciiTheme="majorHAnsi" w:hAnsiTheme="majorHAnsi" w:cstheme="majorHAnsi"/>
                <w:lang w:val="en-GB"/>
              </w:rPr>
              <w:t>:</w:t>
            </w:r>
          </w:p>
          <w:p w14:paraId="60CDDD3C" w14:textId="77777777" w:rsidR="00BB66F7" w:rsidRDefault="00BB66F7" w:rsidP="00BB66F7">
            <w:pPr>
              <w:numPr>
                <w:ilvl w:val="1"/>
                <w:numId w:val="18"/>
              </w:numPr>
              <w:jc w:val="both"/>
              <w:rPr>
                <w:rFonts w:asciiTheme="majorHAnsi" w:hAnsiTheme="majorHAnsi" w:cstheme="majorHAnsi"/>
                <w:lang w:val="en-GB"/>
              </w:rPr>
            </w:pPr>
            <w:r w:rsidRPr="00345A24">
              <w:rPr>
                <w:rFonts w:asciiTheme="majorHAnsi" w:hAnsiTheme="majorHAnsi" w:cstheme="majorHAnsi"/>
                <w:lang w:val="en-GB"/>
              </w:rPr>
              <w:t>How will the New Pact on Migration reshape existing obligations under CEAS, and what opportunities does it present for invoking Article 18 in individual cases?</w:t>
            </w:r>
          </w:p>
          <w:p w14:paraId="1773E5AF" w14:textId="77777777" w:rsidR="00BB66F7" w:rsidRPr="00345A24" w:rsidRDefault="00BB66F7" w:rsidP="00BB66F7">
            <w:pPr>
              <w:ind w:left="1440"/>
              <w:jc w:val="both"/>
              <w:rPr>
                <w:rFonts w:asciiTheme="majorHAnsi" w:hAnsiTheme="majorHAnsi" w:cstheme="majorHAnsi"/>
                <w:lang w:val="en-GB"/>
              </w:rPr>
            </w:pPr>
          </w:p>
          <w:p w14:paraId="54AD2D86" w14:textId="77777777" w:rsidR="00BB66F7" w:rsidRPr="00345A24" w:rsidRDefault="00BB66F7" w:rsidP="00BB66F7">
            <w:pPr>
              <w:jc w:val="both"/>
              <w:rPr>
                <w:rFonts w:asciiTheme="majorHAnsi" w:hAnsiTheme="majorHAnsi" w:cstheme="majorHAnsi"/>
                <w:lang w:val="fr-FR"/>
              </w:rPr>
            </w:pPr>
            <w:r>
              <w:rPr>
                <w:rFonts w:asciiTheme="majorHAnsi" w:hAnsiTheme="majorHAnsi" w:cstheme="majorHAnsi"/>
                <w:lang w:val="fr-FR"/>
              </w:rPr>
              <w:pict w14:anchorId="55FE1F39">
                <v:rect id="_x0000_i1026" style="width:0;height:1.5pt" o:hralign="center" o:hrstd="t" o:hr="t" fillcolor="#a0a0a0" stroked="f"/>
              </w:pict>
            </w:r>
          </w:p>
          <w:p w14:paraId="12B848A5" w14:textId="77777777" w:rsidR="00BB66F7" w:rsidRDefault="00BB66F7" w:rsidP="00BB66F7">
            <w:pPr>
              <w:jc w:val="both"/>
              <w:rPr>
                <w:rFonts w:asciiTheme="majorHAnsi" w:hAnsiTheme="majorHAnsi" w:cstheme="majorHAnsi"/>
                <w:b/>
                <w:bCs/>
                <w:lang w:val="fr-FR"/>
              </w:rPr>
            </w:pPr>
            <w:proofErr w:type="spellStart"/>
            <w:r w:rsidRPr="00345A24">
              <w:rPr>
                <w:rFonts w:asciiTheme="majorHAnsi" w:hAnsiTheme="majorHAnsi" w:cstheme="majorHAnsi"/>
                <w:b/>
                <w:bCs/>
                <w:lang w:val="fr-FR"/>
              </w:rPr>
              <w:t>Practical</w:t>
            </w:r>
            <w:proofErr w:type="spellEnd"/>
            <w:r w:rsidRPr="00345A24">
              <w:rPr>
                <w:rFonts w:asciiTheme="majorHAnsi" w:hAnsiTheme="majorHAnsi" w:cstheme="majorHAnsi"/>
                <w:b/>
                <w:bCs/>
                <w:lang w:val="fr-FR"/>
              </w:rPr>
              <w:t xml:space="preserve"> Guidance for </w:t>
            </w:r>
            <w:proofErr w:type="spellStart"/>
            <w:r w:rsidRPr="00345A24">
              <w:rPr>
                <w:rFonts w:asciiTheme="majorHAnsi" w:hAnsiTheme="majorHAnsi" w:cstheme="majorHAnsi"/>
                <w:b/>
                <w:bCs/>
                <w:lang w:val="fr-FR"/>
              </w:rPr>
              <w:t>Lawyers</w:t>
            </w:r>
            <w:proofErr w:type="spellEnd"/>
          </w:p>
          <w:p w14:paraId="153CC137" w14:textId="77777777" w:rsidR="00BB66F7" w:rsidRPr="00345A24" w:rsidRDefault="00BB66F7" w:rsidP="00BB66F7">
            <w:pPr>
              <w:jc w:val="both"/>
              <w:rPr>
                <w:rFonts w:asciiTheme="majorHAnsi" w:hAnsiTheme="majorHAnsi" w:cstheme="majorHAnsi"/>
                <w:b/>
                <w:bCs/>
                <w:lang w:val="fr-FR"/>
              </w:rPr>
            </w:pPr>
          </w:p>
          <w:p w14:paraId="42C7A90C" w14:textId="77777777" w:rsidR="00BB66F7" w:rsidRPr="00345A24" w:rsidRDefault="00BB66F7" w:rsidP="00BB66F7">
            <w:pPr>
              <w:numPr>
                <w:ilvl w:val="0"/>
                <w:numId w:val="19"/>
              </w:numPr>
              <w:jc w:val="both"/>
              <w:rPr>
                <w:rFonts w:asciiTheme="majorHAnsi" w:hAnsiTheme="majorHAnsi" w:cstheme="majorHAnsi"/>
                <w:lang w:val="fr-FR"/>
              </w:rPr>
            </w:pPr>
            <w:proofErr w:type="spellStart"/>
            <w:r w:rsidRPr="00345A24">
              <w:rPr>
                <w:rFonts w:asciiTheme="majorHAnsi" w:hAnsiTheme="majorHAnsi" w:cstheme="majorHAnsi"/>
                <w:b/>
                <w:bCs/>
                <w:lang w:val="fr-FR"/>
              </w:rPr>
              <w:t>Leverage</w:t>
            </w:r>
            <w:proofErr w:type="spellEnd"/>
            <w:r w:rsidRPr="00345A24">
              <w:rPr>
                <w:rFonts w:asciiTheme="majorHAnsi" w:hAnsiTheme="majorHAnsi" w:cstheme="majorHAnsi"/>
                <w:b/>
                <w:bCs/>
                <w:lang w:val="fr-FR"/>
              </w:rPr>
              <w:t xml:space="preserve"> Charter </w:t>
            </w:r>
            <w:proofErr w:type="spellStart"/>
            <w:proofErr w:type="gramStart"/>
            <w:r w:rsidRPr="00345A24">
              <w:rPr>
                <w:rFonts w:asciiTheme="majorHAnsi" w:hAnsiTheme="majorHAnsi" w:cstheme="majorHAnsi"/>
                <w:b/>
                <w:bCs/>
                <w:lang w:val="fr-FR"/>
              </w:rPr>
              <w:t>Primacy</w:t>
            </w:r>
            <w:proofErr w:type="spellEnd"/>
            <w:r w:rsidRPr="00345A24">
              <w:rPr>
                <w:rFonts w:asciiTheme="majorHAnsi" w:hAnsiTheme="majorHAnsi" w:cstheme="majorHAnsi"/>
                <w:lang w:val="fr-FR"/>
              </w:rPr>
              <w:t>:</w:t>
            </w:r>
            <w:proofErr w:type="gramEnd"/>
          </w:p>
          <w:p w14:paraId="00AD19AA" w14:textId="77777777" w:rsidR="00BB66F7" w:rsidRDefault="00BB66F7" w:rsidP="00BB66F7">
            <w:pPr>
              <w:numPr>
                <w:ilvl w:val="1"/>
                <w:numId w:val="19"/>
              </w:numPr>
              <w:jc w:val="both"/>
              <w:rPr>
                <w:rFonts w:asciiTheme="majorHAnsi" w:hAnsiTheme="majorHAnsi" w:cstheme="majorHAnsi"/>
                <w:lang w:val="en-GB"/>
              </w:rPr>
            </w:pPr>
            <w:r w:rsidRPr="00345A24">
              <w:rPr>
                <w:rFonts w:asciiTheme="majorHAnsi" w:hAnsiTheme="majorHAnsi" w:cstheme="majorHAnsi"/>
                <w:lang w:val="en-GB"/>
              </w:rPr>
              <w:t>Always assess whether secondary EU legislation (CEAS) complies with Article 18 and related Charter provisions. Use the Charter as a higher standard of review where national or EU asylum rules fall short.</w:t>
            </w:r>
          </w:p>
          <w:p w14:paraId="15C43841" w14:textId="77777777" w:rsidR="00BB66F7" w:rsidRPr="00345A24" w:rsidRDefault="00BB66F7" w:rsidP="00BB66F7">
            <w:pPr>
              <w:ind w:left="1440"/>
              <w:jc w:val="both"/>
              <w:rPr>
                <w:rFonts w:asciiTheme="majorHAnsi" w:hAnsiTheme="majorHAnsi" w:cstheme="majorHAnsi"/>
                <w:lang w:val="en-GB"/>
              </w:rPr>
            </w:pPr>
          </w:p>
          <w:p w14:paraId="0BBE3C3E" w14:textId="77777777" w:rsidR="00BB66F7" w:rsidRPr="00345A24" w:rsidRDefault="00BB66F7" w:rsidP="00BB66F7">
            <w:pPr>
              <w:numPr>
                <w:ilvl w:val="0"/>
                <w:numId w:val="19"/>
              </w:numPr>
              <w:jc w:val="both"/>
              <w:rPr>
                <w:rFonts w:asciiTheme="majorHAnsi" w:hAnsiTheme="majorHAnsi" w:cstheme="majorHAnsi"/>
                <w:lang w:val="fr-FR"/>
              </w:rPr>
            </w:pPr>
            <w:r w:rsidRPr="00345A24">
              <w:rPr>
                <w:rFonts w:asciiTheme="majorHAnsi" w:hAnsiTheme="majorHAnsi" w:cstheme="majorHAnsi"/>
                <w:b/>
                <w:bCs/>
                <w:lang w:val="fr-FR"/>
              </w:rPr>
              <w:t xml:space="preserve">Challenge National </w:t>
            </w:r>
            <w:proofErr w:type="gramStart"/>
            <w:r w:rsidRPr="00345A24">
              <w:rPr>
                <w:rFonts w:asciiTheme="majorHAnsi" w:hAnsiTheme="majorHAnsi" w:cstheme="majorHAnsi"/>
                <w:b/>
                <w:bCs/>
                <w:lang w:val="fr-FR"/>
              </w:rPr>
              <w:t>Practices</w:t>
            </w:r>
            <w:r w:rsidRPr="00345A24">
              <w:rPr>
                <w:rFonts w:asciiTheme="majorHAnsi" w:hAnsiTheme="majorHAnsi" w:cstheme="majorHAnsi"/>
                <w:lang w:val="fr-FR"/>
              </w:rPr>
              <w:t>:</w:t>
            </w:r>
            <w:proofErr w:type="gramEnd"/>
          </w:p>
          <w:p w14:paraId="1C19D3D2" w14:textId="77777777" w:rsidR="00BB66F7" w:rsidRPr="00345A24" w:rsidRDefault="00BB66F7" w:rsidP="00BB66F7">
            <w:pPr>
              <w:numPr>
                <w:ilvl w:val="1"/>
                <w:numId w:val="19"/>
              </w:numPr>
              <w:jc w:val="both"/>
              <w:rPr>
                <w:rFonts w:asciiTheme="majorHAnsi" w:hAnsiTheme="majorHAnsi" w:cstheme="majorHAnsi"/>
                <w:lang w:val="en-GB"/>
              </w:rPr>
            </w:pPr>
            <w:r w:rsidRPr="00345A24">
              <w:rPr>
                <w:rFonts w:asciiTheme="majorHAnsi" w:hAnsiTheme="majorHAnsi" w:cstheme="majorHAnsi"/>
                <w:lang w:val="en-GB"/>
              </w:rPr>
              <w:t>In cases where Member States fail to properly implement CEAS standards or restrict asylum protections, Article 18 provides a robust basis for legal challenge.</w:t>
            </w:r>
          </w:p>
          <w:p w14:paraId="25DFCE3C" w14:textId="77777777" w:rsidR="00BB66F7" w:rsidRDefault="00BB66F7" w:rsidP="00BB66F7">
            <w:pPr>
              <w:numPr>
                <w:ilvl w:val="1"/>
                <w:numId w:val="19"/>
              </w:numPr>
              <w:jc w:val="both"/>
              <w:rPr>
                <w:rFonts w:asciiTheme="majorHAnsi" w:hAnsiTheme="majorHAnsi" w:cstheme="majorHAnsi"/>
                <w:lang w:val="en-GB"/>
              </w:rPr>
            </w:pPr>
            <w:r w:rsidRPr="00345A24">
              <w:rPr>
                <w:rFonts w:asciiTheme="majorHAnsi" w:hAnsiTheme="majorHAnsi" w:cstheme="majorHAnsi"/>
                <w:lang w:val="en-GB"/>
              </w:rPr>
              <w:t>Example: Delays or unfair processing in asylum applications can be framed as violations of Article 18’s guarantees.</w:t>
            </w:r>
          </w:p>
          <w:p w14:paraId="040EE167" w14:textId="77777777" w:rsidR="00BB66F7" w:rsidRPr="00345A24" w:rsidRDefault="00BB66F7" w:rsidP="00BB66F7">
            <w:pPr>
              <w:ind w:left="1440"/>
              <w:jc w:val="both"/>
              <w:rPr>
                <w:rFonts w:asciiTheme="majorHAnsi" w:hAnsiTheme="majorHAnsi" w:cstheme="majorHAnsi"/>
                <w:lang w:val="en-GB"/>
              </w:rPr>
            </w:pPr>
          </w:p>
          <w:p w14:paraId="15F792B4" w14:textId="77777777" w:rsidR="00BB66F7" w:rsidRPr="00345A24" w:rsidRDefault="00BB66F7" w:rsidP="00BB66F7">
            <w:pPr>
              <w:numPr>
                <w:ilvl w:val="0"/>
                <w:numId w:val="19"/>
              </w:numPr>
              <w:jc w:val="both"/>
              <w:rPr>
                <w:rFonts w:asciiTheme="majorHAnsi" w:hAnsiTheme="majorHAnsi" w:cstheme="majorHAnsi"/>
                <w:lang w:val="fr-FR"/>
              </w:rPr>
            </w:pPr>
            <w:proofErr w:type="spellStart"/>
            <w:r w:rsidRPr="00345A24">
              <w:rPr>
                <w:rFonts w:asciiTheme="majorHAnsi" w:hAnsiTheme="majorHAnsi" w:cstheme="majorHAnsi"/>
                <w:b/>
                <w:bCs/>
                <w:lang w:val="fr-FR"/>
              </w:rPr>
              <w:t>Anticipate</w:t>
            </w:r>
            <w:proofErr w:type="spellEnd"/>
            <w:r w:rsidRPr="00345A24">
              <w:rPr>
                <w:rFonts w:asciiTheme="majorHAnsi" w:hAnsiTheme="majorHAnsi" w:cstheme="majorHAnsi"/>
                <w:b/>
                <w:bCs/>
                <w:lang w:val="fr-FR"/>
              </w:rPr>
              <w:t xml:space="preserve"> </w:t>
            </w:r>
            <w:proofErr w:type="spellStart"/>
            <w:r w:rsidRPr="00345A24">
              <w:rPr>
                <w:rFonts w:asciiTheme="majorHAnsi" w:hAnsiTheme="majorHAnsi" w:cstheme="majorHAnsi"/>
                <w:b/>
                <w:bCs/>
                <w:lang w:val="fr-FR"/>
              </w:rPr>
              <w:t>Judicial</w:t>
            </w:r>
            <w:proofErr w:type="spellEnd"/>
            <w:r w:rsidRPr="00345A24">
              <w:rPr>
                <w:rFonts w:asciiTheme="majorHAnsi" w:hAnsiTheme="majorHAnsi" w:cstheme="majorHAnsi"/>
                <w:b/>
                <w:bCs/>
                <w:lang w:val="fr-FR"/>
              </w:rPr>
              <w:t xml:space="preserve"> </w:t>
            </w:r>
            <w:proofErr w:type="gramStart"/>
            <w:r w:rsidRPr="00345A24">
              <w:rPr>
                <w:rFonts w:asciiTheme="majorHAnsi" w:hAnsiTheme="majorHAnsi" w:cstheme="majorHAnsi"/>
                <w:b/>
                <w:bCs/>
                <w:lang w:val="fr-FR"/>
              </w:rPr>
              <w:t>Trends</w:t>
            </w:r>
            <w:r w:rsidRPr="00345A24">
              <w:rPr>
                <w:rFonts w:asciiTheme="majorHAnsi" w:hAnsiTheme="majorHAnsi" w:cstheme="majorHAnsi"/>
                <w:lang w:val="fr-FR"/>
              </w:rPr>
              <w:t>:</w:t>
            </w:r>
            <w:proofErr w:type="gramEnd"/>
          </w:p>
          <w:p w14:paraId="55C3B661" w14:textId="77777777" w:rsidR="00BB66F7" w:rsidRPr="00345A24" w:rsidRDefault="00BB66F7" w:rsidP="00BB66F7">
            <w:pPr>
              <w:numPr>
                <w:ilvl w:val="1"/>
                <w:numId w:val="19"/>
              </w:numPr>
              <w:jc w:val="both"/>
              <w:rPr>
                <w:rFonts w:asciiTheme="majorHAnsi" w:hAnsiTheme="majorHAnsi" w:cstheme="majorHAnsi"/>
                <w:lang w:val="en-GB"/>
              </w:rPr>
            </w:pPr>
            <w:r w:rsidRPr="00345A24">
              <w:rPr>
                <w:rFonts w:asciiTheme="majorHAnsi" w:hAnsiTheme="majorHAnsi" w:cstheme="majorHAnsi"/>
                <w:lang w:val="en-GB"/>
              </w:rPr>
              <w:t>While the CJEU has not fully defined the scope of Article 18, its case law continues to shape this right in critical ways. Lawyers must stay informed about emerging rulings, particularly those addressing:</w:t>
            </w:r>
          </w:p>
          <w:p w14:paraId="50388529" w14:textId="77777777" w:rsidR="00BB66F7" w:rsidRPr="00345A24" w:rsidRDefault="00BB66F7" w:rsidP="00BB66F7">
            <w:pPr>
              <w:numPr>
                <w:ilvl w:val="2"/>
                <w:numId w:val="19"/>
              </w:numPr>
              <w:jc w:val="both"/>
              <w:rPr>
                <w:rFonts w:asciiTheme="majorHAnsi" w:hAnsiTheme="majorHAnsi" w:cstheme="majorHAnsi"/>
                <w:lang w:val="en-GB"/>
              </w:rPr>
            </w:pPr>
            <w:r w:rsidRPr="00345A24">
              <w:rPr>
                <w:rFonts w:asciiTheme="majorHAnsi" w:hAnsiTheme="majorHAnsi" w:cstheme="majorHAnsi"/>
                <w:lang w:val="en-GB"/>
              </w:rPr>
              <w:t>Procedural guarantees for asylum seekers.</w:t>
            </w:r>
          </w:p>
          <w:p w14:paraId="235956DB" w14:textId="77777777" w:rsidR="00BB66F7" w:rsidRPr="00345A24" w:rsidRDefault="00BB66F7" w:rsidP="00BB66F7">
            <w:pPr>
              <w:numPr>
                <w:ilvl w:val="2"/>
                <w:numId w:val="19"/>
              </w:numPr>
              <w:jc w:val="both"/>
              <w:rPr>
                <w:rFonts w:asciiTheme="majorHAnsi" w:hAnsiTheme="majorHAnsi" w:cstheme="majorHAnsi"/>
                <w:lang w:val="en-GB"/>
              </w:rPr>
            </w:pPr>
            <w:r w:rsidRPr="00345A24">
              <w:rPr>
                <w:rFonts w:asciiTheme="majorHAnsi" w:hAnsiTheme="majorHAnsi" w:cstheme="majorHAnsi"/>
                <w:lang w:val="en-GB"/>
              </w:rPr>
              <w:t>Obligations of Member States under the principle of solidarity.</w:t>
            </w:r>
          </w:p>
          <w:p w14:paraId="13CC8D56" w14:textId="552D207B" w:rsidR="00BB66F7" w:rsidRPr="00BB66F7" w:rsidRDefault="00BB66F7" w:rsidP="00BB66F7">
            <w:pPr>
              <w:numPr>
                <w:ilvl w:val="2"/>
                <w:numId w:val="19"/>
              </w:numPr>
              <w:jc w:val="both"/>
              <w:rPr>
                <w:rFonts w:asciiTheme="majorHAnsi" w:hAnsiTheme="majorHAnsi" w:cstheme="majorHAnsi"/>
                <w:lang w:val="en-GB"/>
              </w:rPr>
            </w:pPr>
            <w:r w:rsidRPr="00345A24">
              <w:rPr>
                <w:rFonts w:asciiTheme="majorHAnsi" w:hAnsiTheme="majorHAnsi" w:cstheme="majorHAnsi"/>
                <w:lang w:val="en-GB"/>
              </w:rPr>
              <w:t>Protections for vulnerable groups (e.g., children, LGBTQ+ applicants)</w:t>
            </w:r>
          </w:p>
          <w:p w14:paraId="251797F5" w14:textId="1D0253BD" w:rsidR="00BB66F7" w:rsidRPr="008E2D64" w:rsidRDefault="00BB66F7" w:rsidP="00BB66F7">
            <w:pPr>
              <w:rPr>
                <w:rFonts w:ascii="Calibri" w:hAnsi="Calibri" w:cs="Calibri"/>
                <w:i/>
                <w:iCs/>
                <w:lang w:val="en-US"/>
              </w:rPr>
            </w:pPr>
          </w:p>
        </w:tc>
      </w:tr>
      <w:tr w:rsidR="00BB66F7" w:rsidRPr="008E2D64" w14:paraId="0C5F89DE" w14:textId="77777777" w:rsidTr="00541A2A">
        <w:tc>
          <w:tcPr>
            <w:tcW w:w="8494" w:type="dxa"/>
          </w:tcPr>
          <w:p w14:paraId="2B76EC9A" w14:textId="1DCC6A15" w:rsidR="00BB66F7" w:rsidRPr="009F095C" w:rsidRDefault="00BB66F7" w:rsidP="00BB66F7">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Correspondence with other European/International instruments</w:t>
            </w:r>
          </w:p>
        </w:tc>
      </w:tr>
      <w:tr w:rsidR="00BB66F7" w:rsidRPr="008E2D64" w14:paraId="46150B45" w14:textId="77777777" w:rsidTr="00541A2A">
        <w:tc>
          <w:tcPr>
            <w:tcW w:w="8494" w:type="dxa"/>
          </w:tcPr>
          <w:p w14:paraId="6303D8B7" w14:textId="77777777" w:rsidR="00BB66F7" w:rsidRDefault="00BB66F7" w:rsidP="00BB66F7">
            <w:pPr>
              <w:rPr>
                <w:rFonts w:asciiTheme="majorHAnsi" w:hAnsiTheme="majorHAnsi" w:cstheme="majorHAnsi"/>
                <w:i/>
                <w:iCs/>
                <w:lang w:val="en-US"/>
              </w:rPr>
            </w:pPr>
          </w:p>
          <w:p w14:paraId="55698274" w14:textId="77777777" w:rsidR="00BB66F7" w:rsidRPr="008C014F" w:rsidRDefault="00BB66F7" w:rsidP="00BB66F7">
            <w:pPr>
              <w:pStyle w:val="Paragraphedeliste"/>
              <w:numPr>
                <w:ilvl w:val="0"/>
                <w:numId w:val="20"/>
              </w:numPr>
              <w:rPr>
                <w:rFonts w:asciiTheme="majorHAnsi" w:hAnsiTheme="majorHAnsi" w:cstheme="majorHAnsi"/>
                <w:lang w:val="en-GB"/>
              </w:rPr>
            </w:pPr>
            <w:r w:rsidRPr="008C014F">
              <w:rPr>
                <w:rFonts w:asciiTheme="majorHAnsi" w:hAnsiTheme="majorHAnsi" w:cstheme="majorHAnsi"/>
                <w:lang w:val="en-GB"/>
              </w:rPr>
              <w:t>Universal Declaration of Human Rights, Article 14</w:t>
            </w:r>
          </w:p>
          <w:p w14:paraId="4BBE89AF" w14:textId="77777777" w:rsidR="00BB66F7" w:rsidRPr="008C014F" w:rsidRDefault="00BB66F7" w:rsidP="00BB66F7">
            <w:pPr>
              <w:pStyle w:val="Paragraphedeliste"/>
              <w:numPr>
                <w:ilvl w:val="0"/>
                <w:numId w:val="20"/>
              </w:numPr>
              <w:rPr>
                <w:rFonts w:asciiTheme="majorHAnsi" w:hAnsiTheme="majorHAnsi" w:cstheme="majorHAnsi"/>
                <w:lang w:val="en-GB"/>
              </w:rPr>
            </w:pPr>
            <w:r w:rsidRPr="008C014F">
              <w:rPr>
                <w:rFonts w:asciiTheme="majorHAnsi" w:hAnsiTheme="majorHAnsi" w:cstheme="majorHAnsi"/>
                <w:lang w:val="en-GB"/>
              </w:rPr>
              <w:t>European Convention on Human Rights, Article 3</w:t>
            </w:r>
          </w:p>
          <w:p w14:paraId="67B4EDD7" w14:textId="77777777" w:rsidR="00BB66F7" w:rsidRPr="008C014F" w:rsidRDefault="00BB66F7" w:rsidP="00BB66F7">
            <w:pPr>
              <w:pStyle w:val="Paragraphedeliste"/>
              <w:numPr>
                <w:ilvl w:val="0"/>
                <w:numId w:val="20"/>
              </w:numPr>
              <w:rPr>
                <w:rFonts w:asciiTheme="majorHAnsi" w:hAnsiTheme="majorHAnsi" w:cstheme="majorHAnsi"/>
                <w:lang w:val="en-GB"/>
              </w:rPr>
            </w:pPr>
            <w:r w:rsidRPr="008C014F">
              <w:rPr>
                <w:rFonts w:asciiTheme="majorHAnsi" w:hAnsiTheme="majorHAnsi" w:cstheme="majorHAnsi"/>
                <w:lang w:val="en-GB"/>
              </w:rPr>
              <w:lastRenderedPageBreak/>
              <w:t>International Covenant on Civil and Political Rights, Article 7</w:t>
            </w:r>
          </w:p>
          <w:p w14:paraId="0A2C0286" w14:textId="5653D8BC" w:rsidR="00BB66F7" w:rsidRPr="00BB66F7" w:rsidRDefault="00BB66F7" w:rsidP="00BB66F7">
            <w:pPr>
              <w:pStyle w:val="Paragraphedeliste"/>
              <w:numPr>
                <w:ilvl w:val="0"/>
                <w:numId w:val="20"/>
              </w:numPr>
              <w:rPr>
                <w:rFonts w:asciiTheme="majorHAnsi" w:hAnsiTheme="majorHAnsi" w:cstheme="majorHAnsi"/>
                <w:lang w:val="en-US"/>
              </w:rPr>
            </w:pPr>
            <w:r w:rsidRPr="008C014F">
              <w:rPr>
                <w:rFonts w:asciiTheme="majorHAnsi" w:hAnsiTheme="majorHAnsi" w:cstheme="majorHAnsi"/>
                <w:lang w:val="en-US"/>
              </w:rPr>
              <w:t xml:space="preserve">Convention Relating to the Status of Refugees </w:t>
            </w:r>
          </w:p>
          <w:p w14:paraId="4838CCC9" w14:textId="284E0AA4" w:rsidR="00BB66F7" w:rsidRPr="009F095C" w:rsidRDefault="00BB66F7" w:rsidP="00BB66F7">
            <w:pPr>
              <w:pStyle w:val="Paragraphedeliste"/>
              <w:rPr>
                <w:rFonts w:asciiTheme="majorHAnsi" w:hAnsiTheme="majorHAnsi" w:cstheme="majorHAnsi"/>
              </w:rPr>
            </w:pPr>
          </w:p>
        </w:tc>
      </w:tr>
      <w:tr w:rsidR="00BB66F7" w:rsidRPr="008E2D64" w14:paraId="0B26731A" w14:textId="77777777" w:rsidTr="00CA5340">
        <w:tc>
          <w:tcPr>
            <w:tcW w:w="8494" w:type="dxa"/>
          </w:tcPr>
          <w:p w14:paraId="75063B86" w14:textId="41A81A64" w:rsidR="00BB66F7" w:rsidRPr="009F095C" w:rsidRDefault="00BB66F7" w:rsidP="00BB66F7">
            <w:pPr>
              <w:rPr>
                <w:rFonts w:cstheme="minorHAnsi"/>
                <w:b/>
                <w:bCs/>
                <w:color w:val="000000" w:themeColor="text1"/>
                <w:lang w:val="en-US"/>
              </w:rPr>
            </w:pPr>
            <w:r w:rsidRPr="009F095C">
              <w:rPr>
                <w:rFonts w:cstheme="minorHAnsi"/>
                <w:b/>
                <w:bCs/>
                <w:color w:val="000000" w:themeColor="text1"/>
                <w:lang w:val="en-US"/>
              </w:rPr>
              <w:lastRenderedPageBreak/>
              <w:t>Further readings</w:t>
            </w:r>
          </w:p>
        </w:tc>
      </w:tr>
      <w:tr w:rsidR="00BB66F7" w:rsidRPr="008E2D64" w14:paraId="2BA0518F" w14:textId="77777777" w:rsidTr="00CA5340">
        <w:tc>
          <w:tcPr>
            <w:tcW w:w="8494" w:type="dxa"/>
          </w:tcPr>
          <w:p w14:paraId="2FA1AE4B" w14:textId="77777777" w:rsidR="00BB66F7" w:rsidRPr="009F095C" w:rsidRDefault="00BB66F7" w:rsidP="00BB66F7">
            <w:pPr>
              <w:rPr>
                <w:rFonts w:asciiTheme="majorHAnsi" w:hAnsiTheme="majorHAnsi" w:cstheme="majorHAnsi"/>
                <w:i/>
                <w:iCs/>
                <w:color w:val="000000" w:themeColor="text1"/>
                <w:lang w:val="en-US"/>
              </w:rPr>
            </w:pPr>
          </w:p>
          <w:p w14:paraId="78245C14" w14:textId="77777777" w:rsidR="00BB66F7" w:rsidRPr="008C014F" w:rsidRDefault="00BB66F7" w:rsidP="00BB66F7">
            <w:pPr>
              <w:pStyle w:val="Paragraphedeliste"/>
              <w:numPr>
                <w:ilvl w:val="0"/>
                <w:numId w:val="21"/>
              </w:numPr>
              <w:rPr>
                <w:rFonts w:asciiTheme="majorHAnsi" w:hAnsiTheme="majorHAnsi" w:cstheme="majorHAnsi"/>
                <w:i/>
                <w:iCs/>
                <w:color w:val="000000" w:themeColor="text1"/>
                <w:lang w:val="en-US"/>
              </w:rPr>
            </w:pPr>
            <w:r w:rsidRPr="008C014F">
              <w:rPr>
                <w:rFonts w:asciiTheme="majorHAnsi" w:hAnsiTheme="majorHAnsi" w:cstheme="majorHAnsi"/>
                <w:color w:val="000000" w:themeColor="text1"/>
                <w:lang w:val="en-US"/>
              </w:rPr>
              <w:t xml:space="preserve">Daniel </w:t>
            </w:r>
            <w:proofErr w:type="spellStart"/>
            <w:r w:rsidRPr="008C014F">
              <w:rPr>
                <w:rFonts w:asciiTheme="majorHAnsi" w:hAnsiTheme="majorHAnsi" w:cstheme="majorHAnsi"/>
                <w:color w:val="000000" w:themeColor="text1"/>
                <w:lang w:val="en-US"/>
              </w:rPr>
              <w:t>Thym</w:t>
            </w:r>
            <w:proofErr w:type="spellEnd"/>
            <w:r w:rsidRPr="008C014F">
              <w:rPr>
                <w:rFonts w:asciiTheme="majorHAnsi" w:hAnsiTheme="majorHAnsi" w:cstheme="majorHAnsi"/>
                <w:color w:val="000000" w:themeColor="text1"/>
                <w:lang w:val="en-US"/>
              </w:rPr>
              <w:t xml:space="preserve"> –</w:t>
            </w:r>
            <w:r w:rsidRPr="008C014F">
              <w:rPr>
                <w:rFonts w:asciiTheme="majorHAnsi" w:hAnsiTheme="majorHAnsi" w:cstheme="majorHAnsi"/>
                <w:i/>
                <w:iCs/>
                <w:color w:val="000000" w:themeColor="text1"/>
                <w:lang w:val="en-US"/>
              </w:rPr>
              <w:t xml:space="preserve"> EU Immigration and Asylum Law</w:t>
            </w:r>
          </w:p>
          <w:p w14:paraId="25ED6986" w14:textId="77777777" w:rsidR="00BB66F7" w:rsidRPr="008C014F" w:rsidRDefault="00BB66F7" w:rsidP="00BB66F7">
            <w:pPr>
              <w:pStyle w:val="Paragraphedeliste"/>
              <w:numPr>
                <w:ilvl w:val="0"/>
                <w:numId w:val="21"/>
              </w:numPr>
              <w:rPr>
                <w:rFonts w:asciiTheme="majorHAnsi" w:hAnsiTheme="majorHAnsi" w:cstheme="majorHAnsi"/>
                <w:i/>
                <w:iCs/>
                <w:color w:val="000000" w:themeColor="text1"/>
                <w:lang w:val="en-US"/>
              </w:rPr>
            </w:pPr>
            <w:r w:rsidRPr="008C014F">
              <w:rPr>
                <w:rFonts w:asciiTheme="majorHAnsi" w:hAnsiTheme="majorHAnsi" w:cstheme="majorHAnsi"/>
                <w:color w:val="000000" w:themeColor="text1"/>
                <w:lang w:val="en-US"/>
              </w:rPr>
              <w:t>Victoria Moreno-Lax -</w:t>
            </w:r>
            <w:r w:rsidRPr="008C014F">
              <w:rPr>
                <w:rFonts w:asciiTheme="majorHAnsi" w:hAnsiTheme="majorHAnsi" w:cstheme="majorHAnsi"/>
                <w:i/>
                <w:iCs/>
                <w:color w:val="000000" w:themeColor="text1"/>
                <w:lang w:val="en-US"/>
              </w:rPr>
              <w:t xml:space="preserve"> Accessing Asylum in Europe: Extraterritorial Border Controls and Refugee Rights under EU Law</w:t>
            </w:r>
          </w:p>
          <w:p w14:paraId="536A1CD7" w14:textId="77777777" w:rsidR="00BB66F7" w:rsidRDefault="00BB66F7" w:rsidP="00BB66F7">
            <w:pPr>
              <w:pStyle w:val="Paragraphedeliste"/>
              <w:numPr>
                <w:ilvl w:val="0"/>
                <w:numId w:val="21"/>
              </w:numPr>
              <w:rPr>
                <w:rFonts w:asciiTheme="majorHAnsi" w:hAnsiTheme="majorHAnsi" w:cstheme="majorHAnsi"/>
                <w:i/>
                <w:iCs/>
                <w:color w:val="000000" w:themeColor="text1"/>
                <w:lang w:val="en-US"/>
              </w:rPr>
            </w:pPr>
            <w:r w:rsidRPr="008C014F">
              <w:rPr>
                <w:rFonts w:asciiTheme="majorHAnsi" w:hAnsiTheme="majorHAnsi" w:cstheme="majorHAnsi"/>
                <w:color w:val="000000" w:themeColor="text1"/>
                <w:lang w:val="en-US"/>
              </w:rPr>
              <w:t>Laura Westra, Satvinder Juss</w:t>
            </w:r>
            <w:r w:rsidRPr="008C014F">
              <w:rPr>
                <w:rFonts w:asciiTheme="majorHAnsi" w:hAnsiTheme="majorHAnsi" w:cstheme="majorHAnsi"/>
                <w:i/>
                <w:iCs/>
                <w:color w:val="000000" w:themeColor="text1"/>
                <w:lang w:val="en-US"/>
              </w:rPr>
              <w:t xml:space="preserve"> - Towards a Refugee Oriented Right of Asylum</w:t>
            </w:r>
          </w:p>
          <w:p w14:paraId="66BE6B45" w14:textId="77777777" w:rsidR="00BB66F7" w:rsidRDefault="00BB66F7" w:rsidP="00BB66F7">
            <w:pPr>
              <w:pStyle w:val="Paragraphedeliste"/>
              <w:numPr>
                <w:ilvl w:val="0"/>
                <w:numId w:val="21"/>
              </w:numPr>
              <w:rPr>
                <w:rFonts w:asciiTheme="majorHAnsi" w:hAnsiTheme="majorHAnsi" w:cstheme="majorHAnsi"/>
                <w:i/>
                <w:iCs/>
                <w:color w:val="000000" w:themeColor="text1"/>
                <w:lang w:val="en-US"/>
              </w:rPr>
            </w:pPr>
            <w:r w:rsidRPr="00BB66F7">
              <w:rPr>
                <w:rFonts w:asciiTheme="majorHAnsi" w:hAnsiTheme="majorHAnsi" w:cstheme="majorHAnsi"/>
                <w:color w:val="000000" w:themeColor="text1"/>
                <w:lang w:val="en-US"/>
              </w:rPr>
              <w:t>Cathryn Costello</w:t>
            </w:r>
            <w:r w:rsidRPr="00BB66F7">
              <w:rPr>
                <w:rFonts w:asciiTheme="majorHAnsi" w:hAnsiTheme="majorHAnsi" w:cstheme="majorHAnsi"/>
                <w:i/>
                <w:iCs/>
                <w:color w:val="000000" w:themeColor="text1"/>
                <w:lang w:val="en-US"/>
              </w:rPr>
              <w:t xml:space="preserve"> - The Human Rights of Migrants and Refugees in European Law</w:t>
            </w:r>
          </w:p>
          <w:p w14:paraId="0DA5C5C2" w14:textId="00F1B2EF" w:rsidR="00BB66F7" w:rsidRPr="00BB66F7" w:rsidRDefault="00BB66F7" w:rsidP="00BB66F7">
            <w:pPr>
              <w:pStyle w:val="Paragraphedeliste"/>
              <w:rPr>
                <w:rFonts w:asciiTheme="majorHAnsi" w:hAnsiTheme="majorHAnsi" w:cstheme="majorHAnsi"/>
                <w:i/>
                <w:iCs/>
                <w:color w:val="000000" w:themeColor="text1"/>
                <w:lang w:val="en-US"/>
              </w:rPr>
            </w:pPr>
          </w:p>
        </w:tc>
      </w:tr>
    </w:tbl>
    <w:p w14:paraId="4967EA04" w14:textId="77777777" w:rsidR="00CA5340" w:rsidRDefault="00CA5340">
      <w:pPr>
        <w:rPr>
          <w:rFonts w:ascii="Calibri" w:hAnsi="Calibri" w:cs="Calibri"/>
          <w:sz w:val="22"/>
          <w:szCs w:val="22"/>
          <w:lang w:val="en-US"/>
        </w:rPr>
      </w:pPr>
    </w:p>
    <w:sectPr w:rsidR="00CA5340" w:rsidSect="00DC53A0">
      <w:headerReference w:type="default" r:id="rId9"/>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EB5"/>
    <w:multiLevelType w:val="multilevel"/>
    <w:tmpl w:val="4606D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3763E7"/>
    <w:multiLevelType w:val="multilevel"/>
    <w:tmpl w:val="DBD63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50227019"/>
    <w:multiLevelType w:val="hybridMultilevel"/>
    <w:tmpl w:val="1A3AACB4"/>
    <w:lvl w:ilvl="0" w:tplc="EDD47432">
      <w:start w:val="18"/>
      <w:numFmt w:val="bullet"/>
      <w:lvlText w:val=""/>
      <w:lvlJc w:val="left"/>
      <w:pPr>
        <w:ind w:left="720" w:hanging="360"/>
      </w:pPr>
      <w:rPr>
        <w:rFonts w:ascii="Wingdings" w:eastAsiaTheme="minorHAnsi"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DF0256"/>
    <w:multiLevelType w:val="hybridMultilevel"/>
    <w:tmpl w:val="44BC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68D90FAE"/>
    <w:multiLevelType w:val="hybridMultilevel"/>
    <w:tmpl w:val="8EFE08A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931999">
    <w:abstractNumId w:val="14"/>
  </w:num>
  <w:num w:numId="2" w16cid:durableId="75979654">
    <w:abstractNumId w:val="16"/>
  </w:num>
  <w:num w:numId="3" w16cid:durableId="1904831463">
    <w:abstractNumId w:val="1"/>
  </w:num>
  <w:num w:numId="4" w16cid:durableId="1503398700">
    <w:abstractNumId w:val="11"/>
  </w:num>
  <w:num w:numId="5" w16cid:durableId="1035890506">
    <w:abstractNumId w:val="9"/>
  </w:num>
  <w:num w:numId="6" w16cid:durableId="1804224680">
    <w:abstractNumId w:val="7"/>
  </w:num>
  <w:num w:numId="7" w16cid:durableId="2060200701">
    <w:abstractNumId w:val="17"/>
  </w:num>
  <w:num w:numId="8" w16cid:durableId="260378364">
    <w:abstractNumId w:val="6"/>
  </w:num>
  <w:num w:numId="9" w16cid:durableId="107169521">
    <w:abstractNumId w:val="19"/>
  </w:num>
  <w:num w:numId="10" w16cid:durableId="2117289083">
    <w:abstractNumId w:val="10"/>
  </w:num>
  <w:num w:numId="11" w16cid:durableId="1042285177">
    <w:abstractNumId w:val="15"/>
  </w:num>
  <w:num w:numId="12" w16cid:durableId="413472436">
    <w:abstractNumId w:val="8"/>
  </w:num>
  <w:num w:numId="13" w16cid:durableId="1990789623">
    <w:abstractNumId w:val="3"/>
  </w:num>
  <w:num w:numId="14" w16cid:durableId="1049305517">
    <w:abstractNumId w:val="20"/>
  </w:num>
  <w:num w:numId="15" w16cid:durableId="325205896">
    <w:abstractNumId w:val="4"/>
  </w:num>
  <w:num w:numId="16" w16cid:durableId="747115462">
    <w:abstractNumId w:val="2"/>
  </w:num>
  <w:num w:numId="17" w16cid:durableId="611399442">
    <w:abstractNumId w:val="12"/>
  </w:num>
  <w:num w:numId="18" w16cid:durableId="2097558358">
    <w:abstractNumId w:val="0"/>
  </w:num>
  <w:num w:numId="19" w16cid:durableId="249506978">
    <w:abstractNumId w:val="5"/>
  </w:num>
  <w:num w:numId="20" w16cid:durableId="428234720">
    <w:abstractNumId w:val="18"/>
  </w:num>
  <w:num w:numId="21" w16cid:durableId="15923471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71D94"/>
    <w:rsid w:val="000808E3"/>
    <w:rsid w:val="000969B1"/>
    <w:rsid w:val="000C3116"/>
    <w:rsid w:val="000C338A"/>
    <w:rsid w:val="000D5EDC"/>
    <w:rsid w:val="000E3179"/>
    <w:rsid w:val="000F2478"/>
    <w:rsid w:val="00125C2F"/>
    <w:rsid w:val="00131343"/>
    <w:rsid w:val="001331B6"/>
    <w:rsid w:val="00185ED2"/>
    <w:rsid w:val="001B1D88"/>
    <w:rsid w:val="00254F16"/>
    <w:rsid w:val="00296B02"/>
    <w:rsid w:val="002A06C2"/>
    <w:rsid w:val="002B04E0"/>
    <w:rsid w:val="002D7EFC"/>
    <w:rsid w:val="002E2D27"/>
    <w:rsid w:val="002E55BA"/>
    <w:rsid w:val="002F6B2D"/>
    <w:rsid w:val="0033291B"/>
    <w:rsid w:val="00390CC1"/>
    <w:rsid w:val="003A537F"/>
    <w:rsid w:val="003C4CA4"/>
    <w:rsid w:val="00412D4C"/>
    <w:rsid w:val="004B1205"/>
    <w:rsid w:val="004B653B"/>
    <w:rsid w:val="00530078"/>
    <w:rsid w:val="00535429"/>
    <w:rsid w:val="00552F47"/>
    <w:rsid w:val="005E4B1D"/>
    <w:rsid w:val="005F3A64"/>
    <w:rsid w:val="0067453B"/>
    <w:rsid w:val="006C20DF"/>
    <w:rsid w:val="006C502E"/>
    <w:rsid w:val="006D49A7"/>
    <w:rsid w:val="006E2B14"/>
    <w:rsid w:val="007079C1"/>
    <w:rsid w:val="00711C0F"/>
    <w:rsid w:val="00713D75"/>
    <w:rsid w:val="007329D3"/>
    <w:rsid w:val="00750965"/>
    <w:rsid w:val="007B4007"/>
    <w:rsid w:val="007F47B5"/>
    <w:rsid w:val="008208D6"/>
    <w:rsid w:val="008266E0"/>
    <w:rsid w:val="00846E73"/>
    <w:rsid w:val="00873CA7"/>
    <w:rsid w:val="00895DB6"/>
    <w:rsid w:val="00895E65"/>
    <w:rsid w:val="008E2D64"/>
    <w:rsid w:val="0095779A"/>
    <w:rsid w:val="009B2955"/>
    <w:rsid w:val="009B53E5"/>
    <w:rsid w:val="009D4AC1"/>
    <w:rsid w:val="009F095C"/>
    <w:rsid w:val="00A24803"/>
    <w:rsid w:val="00A40F02"/>
    <w:rsid w:val="00A42F8F"/>
    <w:rsid w:val="00A57918"/>
    <w:rsid w:val="00A83505"/>
    <w:rsid w:val="00AD347A"/>
    <w:rsid w:val="00AD7371"/>
    <w:rsid w:val="00AF1C04"/>
    <w:rsid w:val="00B135BF"/>
    <w:rsid w:val="00B24B22"/>
    <w:rsid w:val="00B436EB"/>
    <w:rsid w:val="00B55EE2"/>
    <w:rsid w:val="00B640B4"/>
    <w:rsid w:val="00BB66F7"/>
    <w:rsid w:val="00C51A5B"/>
    <w:rsid w:val="00C71D38"/>
    <w:rsid w:val="00C75647"/>
    <w:rsid w:val="00C85CB5"/>
    <w:rsid w:val="00CA5340"/>
    <w:rsid w:val="00CC124C"/>
    <w:rsid w:val="00CD3B67"/>
    <w:rsid w:val="00D836DD"/>
    <w:rsid w:val="00DC4BE8"/>
    <w:rsid w:val="00DC53A0"/>
    <w:rsid w:val="00DC551B"/>
    <w:rsid w:val="00DE0388"/>
    <w:rsid w:val="00E53B97"/>
    <w:rsid w:val="00E84AF0"/>
    <w:rsid w:val="00EB0AE4"/>
    <w:rsid w:val="00F13902"/>
    <w:rsid w:val="00F31726"/>
    <w:rsid w:val="00F44A11"/>
    <w:rsid w:val="00F46745"/>
    <w:rsid w:val="00F71601"/>
    <w:rsid w:val="00FB47B0"/>
    <w:rsid w:val="00FE62A0"/>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 w:type="character" w:styleId="Accentuation">
    <w:name w:val="Emphasis"/>
    <w:basedOn w:val="Policepardfaut"/>
    <w:uiPriority w:val="20"/>
    <w:qFormat/>
    <w:rsid w:val="00BB66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1937</Words>
  <Characters>11043</Characters>
  <Application>Microsoft Office Word</Application>
  <DocSecurity>0</DocSecurity>
  <Lines>92</Lines>
  <Paragraphs>25</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4</cp:revision>
  <dcterms:created xsi:type="dcterms:W3CDTF">2025-02-03T14:31:00Z</dcterms:created>
  <dcterms:modified xsi:type="dcterms:W3CDTF">2025-02-11T11:26:00Z</dcterms:modified>
</cp:coreProperties>
</file>